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610A" w14:textId="77777777" w:rsidR="00157466" w:rsidRPr="00942AE9" w:rsidRDefault="002A3253" w:rsidP="002A3253">
      <w:pPr>
        <w:spacing w:after="0" w:line="240" w:lineRule="auto"/>
        <w:jc w:val="center"/>
        <w:rPr>
          <w:rFonts w:ascii="Georgia" w:hAnsi="Georgia"/>
          <w:b/>
          <w:shadow/>
        </w:rPr>
      </w:pPr>
      <w:r w:rsidRPr="00942AE9">
        <w:rPr>
          <w:rFonts w:ascii="Georgia" w:hAnsi="Georgia"/>
          <w:b/>
          <w:shadow/>
        </w:rPr>
        <w:t xml:space="preserve">Publications sur l’histoire du </w:t>
      </w:r>
      <w:r w:rsidRPr="00942AE9">
        <w:rPr>
          <w:rFonts w:ascii="Georgia" w:hAnsi="Georgia"/>
          <w:b/>
          <w:smallCaps/>
          <w:shadow/>
        </w:rPr>
        <w:t>xix</w:t>
      </w:r>
      <w:r w:rsidRPr="00942AE9">
        <w:rPr>
          <w:rFonts w:ascii="Georgia" w:hAnsi="Georgia"/>
          <w:b/>
          <w:shadow/>
          <w:vertAlign w:val="superscript"/>
        </w:rPr>
        <w:t>e</w:t>
      </w:r>
      <w:r w:rsidRPr="00942AE9">
        <w:rPr>
          <w:rFonts w:ascii="Georgia" w:hAnsi="Georgia"/>
          <w:b/>
          <w:shadow/>
        </w:rPr>
        <w:t xml:space="preserve"> siècle</w:t>
      </w:r>
    </w:p>
    <w:p w14:paraId="12FE8C49" w14:textId="77777777" w:rsidR="002A3253" w:rsidRPr="00942AE9" w:rsidRDefault="002A3253" w:rsidP="00E35717">
      <w:pPr>
        <w:spacing w:after="0" w:line="240" w:lineRule="auto"/>
        <w:rPr>
          <w:rFonts w:ascii="Georgia" w:hAnsi="Georgia"/>
        </w:rPr>
      </w:pPr>
    </w:p>
    <w:p w14:paraId="53B0B9F7" w14:textId="441854AC" w:rsidR="00913757" w:rsidRPr="00913757" w:rsidRDefault="00913757" w:rsidP="00913757">
      <w:pPr>
        <w:pStyle w:val="Paragraphedeliste"/>
        <w:numPr>
          <w:ilvl w:val="0"/>
          <w:numId w:val="9"/>
        </w:numPr>
        <w:spacing w:after="0" w:line="240" w:lineRule="auto"/>
        <w:ind w:left="0" w:firstLine="0"/>
        <w:rPr>
          <w:rFonts w:ascii="Georgia" w:hAnsi="Georgia" w:cs="Arial"/>
          <w:b/>
          <w:bCs/>
          <w:shd w:val="clear" w:color="auto" w:fill="FFFFFF"/>
        </w:rPr>
      </w:pPr>
      <w:r w:rsidRPr="00913757">
        <w:rPr>
          <w:rFonts w:ascii="Georgia" w:hAnsi="Georgia"/>
          <w:iCs/>
        </w:rPr>
        <w:t>« Chapitre 3. Le destin des “Gueules noires” : « “la foi du charbonnier”, exaltée puis diabolisée (</w:t>
      </w:r>
      <w:r w:rsidRPr="00913757">
        <w:rPr>
          <w:rFonts w:ascii="Georgia" w:hAnsi="Georgia"/>
          <w:iCs/>
          <w:smallCaps/>
        </w:rPr>
        <w:t>xix</w:t>
      </w:r>
      <w:r w:rsidRPr="00913757">
        <w:rPr>
          <w:rFonts w:ascii="Georgia" w:hAnsi="Georgia"/>
          <w:iCs/>
          <w:vertAlign w:val="superscript"/>
        </w:rPr>
        <w:t>e</w:t>
      </w:r>
      <w:r w:rsidRPr="00913757">
        <w:rPr>
          <w:rFonts w:ascii="Georgia" w:hAnsi="Georgia"/>
          <w:iCs/>
        </w:rPr>
        <w:t>-</w:t>
      </w:r>
      <w:r w:rsidRPr="00913757">
        <w:rPr>
          <w:rFonts w:ascii="Georgia" w:hAnsi="Georgia"/>
          <w:iCs/>
          <w:smallCaps/>
        </w:rPr>
        <w:t>xxi</w:t>
      </w:r>
      <w:r w:rsidRPr="00913757">
        <w:rPr>
          <w:rFonts w:ascii="Georgia" w:hAnsi="Georgia"/>
          <w:iCs/>
          <w:vertAlign w:val="superscript"/>
        </w:rPr>
        <w:t>e</w:t>
      </w:r>
      <w:r w:rsidRPr="00913757">
        <w:rPr>
          <w:rFonts w:ascii="Georgia" w:hAnsi="Georgia"/>
          <w:iCs/>
        </w:rPr>
        <w:t xml:space="preserve"> siècles) », in Hubert Bonin (dir),</w:t>
      </w:r>
      <w:r w:rsidRPr="00913757">
        <w:rPr>
          <w:rFonts w:ascii="Georgia" w:hAnsi="Georgia"/>
          <w:i/>
        </w:rPr>
        <w:t xml:space="preserve"> Du social au sociétal. Entre histoire et droit (en hommage à Robert Lafore)</w:t>
      </w:r>
      <w:r w:rsidRPr="00913757">
        <w:rPr>
          <w:rFonts w:ascii="Georgia" w:hAnsi="Georgia"/>
          <w:iCs/>
        </w:rPr>
        <w:t>, Lormont, Éditions du Bord de l’eau, « Territoires du politique », 2023</w:t>
      </w:r>
      <w:r>
        <w:rPr>
          <w:rFonts w:ascii="Georgia" w:hAnsi="Georgia"/>
          <w:iCs/>
        </w:rPr>
        <w:t>, p. 63-82</w:t>
      </w:r>
      <w:r w:rsidRPr="00913757">
        <w:rPr>
          <w:rFonts w:ascii="Georgia" w:hAnsi="Georgia"/>
          <w:iCs/>
        </w:rPr>
        <w:t>.</w:t>
      </w:r>
    </w:p>
    <w:p w14:paraId="6E16448E" w14:textId="77777777" w:rsidR="00D90816" w:rsidRDefault="00D90816" w:rsidP="00D90816">
      <w:pPr>
        <w:pStyle w:val="Paragraphedeliste1"/>
        <w:numPr>
          <w:ilvl w:val="0"/>
          <w:numId w:val="9"/>
        </w:numPr>
        <w:ind w:left="0" w:firstLine="0"/>
        <w:rPr>
          <w:rFonts w:ascii="Georgia" w:hAnsi="Georgia"/>
        </w:rPr>
      </w:pPr>
      <w:r>
        <w:rPr>
          <w:rFonts w:ascii="Georgia" w:hAnsi="Georgia"/>
        </w:rPr>
        <w:t xml:space="preserve">« Les domaines viticoles des Cruse dans la seconde moitié du </w:t>
      </w:r>
      <w:r>
        <w:rPr>
          <w:rFonts w:ascii="Georgia" w:hAnsi="Georgia"/>
          <w:smallCaps/>
        </w:rPr>
        <w:t>xx</w:t>
      </w:r>
      <w:r>
        <w:rPr>
          <w:rFonts w:ascii="Georgia" w:hAnsi="Georgia"/>
          <w:vertAlign w:val="superscript"/>
        </w:rPr>
        <w:t>e</w:t>
      </w:r>
      <w:r>
        <w:rPr>
          <w:rFonts w:ascii="Georgia" w:hAnsi="Georgia"/>
        </w:rPr>
        <w:t xml:space="preserve"> siècle et à la Belle Époque », </w:t>
      </w:r>
      <w:r>
        <w:rPr>
          <w:rFonts w:ascii="Georgia" w:hAnsi="Georgia"/>
          <w:i/>
          <w:iCs/>
        </w:rPr>
        <w:t>Cahiers méduliens</w:t>
      </w:r>
      <w:r>
        <w:rPr>
          <w:rFonts w:ascii="Georgia" w:hAnsi="Georgia"/>
        </w:rPr>
        <w:t>, Société historique &amp; archéologique du Médoc, juin 2022, n° 77, p. 33-46.</w:t>
      </w:r>
    </w:p>
    <w:p w14:paraId="4A588338" w14:textId="77777777" w:rsidR="00166F42" w:rsidRPr="00166F42" w:rsidRDefault="00166F42" w:rsidP="00166F42">
      <w:pPr>
        <w:numPr>
          <w:ilvl w:val="0"/>
          <w:numId w:val="9"/>
        </w:numPr>
        <w:spacing w:after="0" w:line="240" w:lineRule="auto"/>
        <w:ind w:left="0" w:firstLine="0"/>
        <w:rPr>
          <w:rFonts w:ascii="Georgia" w:hAnsi="Georgia"/>
        </w:rPr>
      </w:pPr>
      <w:r w:rsidRPr="00166F42">
        <w:rPr>
          <w:rFonts w:ascii="Georgia" w:hAnsi="Georgia"/>
          <w:shd w:val="clear" w:color="auto" w:fill="FFFFFF"/>
        </w:rPr>
        <w:t>« Un Empire libéral sans continuité aux Finances (1869-1870) », in</w:t>
      </w:r>
      <w:r w:rsidRPr="00166F42">
        <w:rPr>
          <w:rFonts w:ascii="Georgia" w:hAnsi="Georgia"/>
        </w:rPr>
        <w:t xml:space="preserve"> Éric Anceau &amp; Dominique Barjot (dir.), </w:t>
      </w:r>
      <w:r w:rsidRPr="00166F42">
        <w:rPr>
          <w:rFonts w:ascii="Georgia" w:hAnsi="Georgia"/>
          <w:i/>
          <w:iCs/>
          <w:shd w:val="clear" w:color="auto" w:fill="FFFFFF"/>
        </w:rPr>
        <w:t>L’Empire libéral. Essai d’histoire globale</w:t>
      </w:r>
      <w:r w:rsidRPr="00166F42">
        <w:rPr>
          <w:rFonts w:ascii="Georgia" w:hAnsi="Georgia"/>
          <w:shd w:val="clear" w:color="auto" w:fill="FFFFFF"/>
        </w:rPr>
        <w:t xml:space="preserve"> Paris, SPM &amp; Kronos, </w:t>
      </w:r>
      <w:r w:rsidRPr="00166F42">
        <w:rPr>
          <w:rFonts w:ascii="Georgia" w:hAnsi="Georgia"/>
        </w:rPr>
        <w:t>2021, p. 149-166.</w:t>
      </w:r>
    </w:p>
    <w:p w14:paraId="40AEC5BF" w14:textId="77777777" w:rsidR="00942AE9" w:rsidRPr="00942AE9" w:rsidRDefault="00166F42" w:rsidP="00166F42">
      <w:pPr>
        <w:pStyle w:val="Paragraphedeliste"/>
        <w:numPr>
          <w:ilvl w:val="0"/>
          <w:numId w:val="8"/>
        </w:numPr>
        <w:spacing w:after="0" w:line="240" w:lineRule="auto"/>
        <w:rPr>
          <w:rFonts w:ascii="Georgia" w:hAnsi="Georgia"/>
        </w:rPr>
      </w:pPr>
      <w:r w:rsidRPr="00942AE9">
        <w:rPr>
          <w:rFonts w:ascii="Georgia" w:hAnsi="Georgia"/>
        </w:rPr>
        <w:t xml:space="preserve"> </w:t>
      </w:r>
      <w:r w:rsidR="00942AE9" w:rsidRPr="00942AE9">
        <w:rPr>
          <w:rFonts w:ascii="Georgia" w:hAnsi="Georgia"/>
        </w:rPr>
        <w:t xml:space="preserve">«  Le sucre ultramarin inséré dans la vie de Bordeaux au </w:t>
      </w:r>
      <w:r w:rsidR="00942AE9" w:rsidRPr="00942AE9">
        <w:rPr>
          <w:rFonts w:ascii="Georgia" w:hAnsi="Georgia"/>
          <w:smallCaps/>
        </w:rPr>
        <w:t>xix</w:t>
      </w:r>
      <w:r w:rsidR="00942AE9" w:rsidRPr="00942AE9">
        <w:rPr>
          <w:rFonts w:ascii="Georgia" w:hAnsi="Georgia"/>
          <w:vertAlign w:val="superscript"/>
        </w:rPr>
        <w:t>e</w:t>
      </w:r>
      <w:r w:rsidR="00942AE9" w:rsidRPr="00942AE9">
        <w:rPr>
          <w:rFonts w:ascii="Georgia" w:hAnsi="Georgia"/>
        </w:rPr>
        <w:t xml:space="preserve"> siècle », in Michel Figeac &amp; Ludovic Balavoine (dir.), </w:t>
      </w:r>
      <w:r w:rsidR="00942AE9" w:rsidRPr="00942AE9">
        <w:rPr>
          <w:rFonts w:ascii="Georgia" w:hAnsi="Georgia"/>
          <w:i/>
        </w:rPr>
        <w:t>Échanges et métissage des cultures matérielles entre la Nouvelle-Aquitaine et les outre-mers (</w:t>
      </w:r>
      <w:r w:rsidR="00942AE9" w:rsidRPr="00942AE9">
        <w:rPr>
          <w:rFonts w:ascii="Georgia" w:hAnsi="Georgia"/>
          <w:i/>
          <w:smallCaps/>
        </w:rPr>
        <w:t>xviii</w:t>
      </w:r>
      <w:r w:rsidR="00942AE9" w:rsidRPr="00942AE9">
        <w:rPr>
          <w:rFonts w:ascii="Georgia" w:hAnsi="Georgia"/>
          <w:i/>
          <w:vertAlign w:val="superscript"/>
        </w:rPr>
        <w:t>e</w:t>
      </w:r>
      <w:r w:rsidR="00942AE9" w:rsidRPr="00942AE9">
        <w:rPr>
          <w:rFonts w:ascii="Georgia" w:hAnsi="Georgia"/>
          <w:i/>
        </w:rPr>
        <w:t>-</w:t>
      </w:r>
      <w:r w:rsidR="00942AE9" w:rsidRPr="00942AE9">
        <w:rPr>
          <w:rFonts w:ascii="Georgia" w:hAnsi="Georgia"/>
          <w:i/>
          <w:smallCaps/>
        </w:rPr>
        <w:t>xix</w:t>
      </w:r>
      <w:r w:rsidR="00942AE9" w:rsidRPr="00942AE9">
        <w:rPr>
          <w:rFonts w:ascii="Georgia" w:hAnsi="Georgia"/>
          <w:i/>
          <w:vertAlign w:val="superscript"/>
        </w:rPr>
        <w:t>e</w:t>
      </w:r>
      <w:r w:rsidR="00942AE9" w:rsidRPr="00942AE9">
        <w:rPr>
          <w:rFonts w:ascii="Georgia" w:hAnsi="Georgia"/>
          <w:i/>
        </w:rPr>
        <w:t xml:space="preserve"> siècles)</w:t>
      </w:r>
      <w:r w:rsidR="00942AE9" w:rsidRPr="00942AE9">
        <w:rPr>
          <w:rFonts w:ascii="Georgia" w:hAnsi="Georgia"/>
        </w:rPr>
        <w:t>, Pessac, Maison des sciences de l’homme d’Aquitaine, 2021, p. 125-134</w:t>
      </w:r>
    </w:p>
    <w:p w14:paraId="0BE51864" w14:textId="77777777" w:rsidR="006719C1" w:rsidRPr="00942AE9" w:rsidRDefault="00942AE9" w:rsidP="00942AE9">
      <w:pPr>
        <w:numPr>
          <w:ilvl w:val="0"/>
          <w:numId w:val="8"/>
        </w:numPr>
        <w:spacing w:after="0" w:line="240" w:lineRule="auto"/>
        <w:rPr>
          <w:rFonts w:ascii="Georgia" w:hAnsi="Georgia" w:cs="Times New Roman"/>
        </w:rPr>
      </w:pPr>
      <w:r w:rsidRPr="00942AE9">
        <w:rPr>
          <w:rFonts w:ascii="Georgia" w:hAnsi="Georgia"/>
        </w:rPr>
        <w:t xml:space="preserve"> </w:t>
      </w:r>
      <w:r w:rsidR="006719C1" w:rsidRPr="00942AE9">
        <w:rPr>
          <w:rFonts w:ascii="Georgia" w:hAnsi="Georgia"/>
        </w:rPr>
        <w:t xml:space="preserve">« L’année 1819 symbole du réveil économique de la France sous la Restauration », </w:t>
      </w:r>
      <w:r w:rsidR="006719C1" w:rsidRPr="00942AE9">
        <w:rPr>
          <w:rFonts w:ascii="Georgia" w:hAnsi="Georgia"/>
          <w:i/>
        </w:rPr>
        <w:t>HES-Histoire, économie &amp; société</w:t>
      </w:r>
      <w:r w:rsidR="006719C1" w:rsidRPr="00942AE9">
        <w:rPr>
          <w:rFonts w:ascii="Georgia" w:hAnsi="Georgia"/>
        </w:rPr>
        <w:t>, 2020, n° 4, p. 61-80.</w:t>
      </w:r>
    </w:p>
    <w:p w14:paraId="6EE56C4C" w14:textId="77777777" w:rsidR="00CD3B2F" w:rsidRPr="00942AE9" w:rsidRDefault="006719C1" w:rsidP="006719C1">
      <w:pPr>
        <w:numPr>
          <w:ilvl w:val="0"/>
          <w:numId w:val="1"/>
        </w:numPr>
        <w:spacing w:after="0" w:line="240" w:lineRule="auto"/>
        <w:rPr>
          <w:rStyle w:val="arttitle"/>
          <w:rFonts w:ascii="Georgia" w:hAnsi="Georgia" w:cs="Arial"/>
        </w:rPr>
      </w:pPr>
      <w:r w:rsidRPr="00942AE9">
        <w:rPr>
          <w:rStyle w:val="arttitle"/>
          <w:rFonts w:ascii="Georgia" w:hAnsi="Georgia" w:cs="Arial"/>
          <w:shd w:val="clear" w:color="auto" w:fill="FFFFFF"/>
        </w:rPr>
        <w:t xml:space="preserve"> </w:t>
      </w:r>
      <w:r w:rsidR="00CD3B2F" w:rsidRPr="00942AE9">
        <w:rPr>
          <w:rStyle w:val="arttitle"/>
          <w:rFonts w:ascii="Georgia" w:hAnsi="Georgia" w:cs="Arial"/>
          <w:shd w:val="clear" w:color="auto" w:fill="FFFFFF"/>
        </w:rPr>
        <w:t xml:space="preserve">« Quelques aspects de l’histoire industrielle de Gujan-Mestras au début du </w:t>
      </w:r>
      <w:r w:rsidR="00CD3B2F" w:rsidRPr="00942AE9">
        <w:rPr>
          <w:rStyle w:val="arttitle"/>
          <w:rFonts w:ascii="Georgia" w:hAnsi="Georgia" w:cs="Arial"/>
          <w:smallCaps/>
          <w:shd w:val="clear" w:color="auto" w:fill="FFFFFF"/>
        </w:rPr>
        <w:t>xx</w:t>
      </w:r>
      <w:r w:rsidR="00CD3B2F" w:rsidRPr="00942AE9">
        <w:rPr>
          <w:rStyle w:val="arttitle"/>
          <w:rFonts w:ascii="Georgia" w:hAnsi="Georgia" w:cs="Arial"/>
          <w:shd w:val="clear" w:color="auto" w:fill="FFFFFF"/>
          <w:vertAlign w:val="superscript"/>
        </w:rPr>
        <w:t>e</w:t>
      </w:r>
      <w:r w:rsidR="00CD3B2F" w:rsidRPr="00942AE9">
        <w:rPr>
          <w:rStyle w:val="arttitle"/>
          <w:rFonts w:ascii="Georgia" w:hAnsi="Georgia" w:cs="Arial"/>
          <w:shd w:val="clear" w:color="auto" w:fill="FFFFFF"/>
        </w:rPr>
        <w:t xml:space="preserve"> siècle », </w:t>
      </w:r>
      <w:r w:rsidR="00CD3B2F" w:rsidRPr="00942AE9">
        <w:rPr>
          <w:rStyle w:val="arttitle"/>
          <w:rFonts w:ascii="Georgia" w:hAnsi="Georgia" w:cs="Arial"/>
          <w:i/>
          <w:shd w:val="clear" w:color="auto" w:fill="FFFFFF"/>
        </w:rPr>
        <w:t>Bulletin</w:t>
      </w:r>
      <w:r w:rsidR="00CD3B2F" w:rsidRPr="00942AE9">
        <w:rPr>
          <w:rStyle w:val="arttitle"/>
          <w:rFonts w:ascii="Georgia" w:hAnsi="Georgia" w:cs="Arial"/>
          <w:shd w:val="clear" w:color="auto" w:fill="FFFFFF"/>
        </w:rPr>
        <w:t xml:space="preserve"> </w:t>
      </w:r>
      <w:r w:rsidR="00CD3B2F" w:rsidRPr="00942AE9">
        <w:rPr>
          <w:rStyle w:val="arttitle"/>
          <w:rFonts w:ascii="Georgia" w:hAnsi="Georgia" w:cs="Arial"/>
          <w:i/>
          <w:shd w:val="clear" w:color="auto" w:fill="FFFFFF"/>
        </w:rPr>
        <w:t>de la Société historique et archéologique d’Arcachon et du Pays de Buch</w:t>
      </w:r>
      <w:r w:rsidR="00CD3B2F" w:rsidRPr="00942AE9">
        <w:rPr>
          <w:rStyle w:val="arttitle"/>
          <w:rFonts w:ascii="Georgia" w:hAnsi="Georgia" w:cs="Arial"/>
          <w:shd w:val="clear" w:color="auto" w:fill="FFFFFF"/>
        </w:rPr>
        <w:t>, novembre 2020, 4</w:t>
      </w:r>
      <w:r w:rsidR="00CD3B2F" w:rsidRPr="00942AE9">
        <w:rPr>
          <w:rStyle w:val="arttitle"/>
          <w:rFonts w:ascii="Georgia" w:hAnsi="Georgia" w:cs="Arial"/>
          <w:shd w:val="clear" w:color="auto" w:fill="FFFFFF"/>
          <w:vertAlign w:val="superscript"/>
        </w:rPr>
        <w:t>e</w:t>
      </w:r>
      <w:r w:rsidR="00CD3B2F" w:rsidRPr="00942AE9">
        <w:rPr>
          <w:rStyle w:val="arttitle"/>
          <w:rFonts w:ascii="Georgia" w:hAnsi="Georgia" w:cs="Arial"/>
          <w:shd w:val="clear" w:color="auto" w:fill="FFFFFF"/>
        </w:rPr>
        <w:t> trimestre, n° 186, p. 69-82.</w:t>
      </w:r>
    </w:p>
    <w:p w14:paraId="727893BF" w14:textId="77777777" w:rsidR="00C555F4" w:rsidRPr="00942AE9" w:rsidRDefault="00C555F4" w:rsidP="00E35717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942AE9">
        <w:rPr>
          <w:rFonts w:ascii="Georgia" w:hAnsi="Georgia"/>
          <w:i/>
        </w:rPr>
        <w:t>Histoire de la Société générale</w:t>
      </w:r>
      <w:r w:rsidRPr="00942AE9">
        <w:rPr>
          <w:rFonts w:ascii="Georgia" w:hAnsi="Georgia"/>
        </w:rPr>
        <w:t xml:space="preserve">. Tome II. </w:t>
      </w:r>
      <w:r w:rsidRPr="00942AE9">
        <w:rPr>
          <w:rFonts w:ascii="Georgia" w:hAnsi="Georgia"/>
          <w:i/>
        </w:rPr>
        <w:t>1890-1914. Une grande banque française</w:t>
      </w:r>
      <w:r w:rsidRPr="00942AE9">
        <w:rPr>
          <w:rFonts w:ascii="Georgia" w:hAnsi="Georgia"/>
        </w:rPr>
        <w:t>, Genève, Droz, « Publications d’histoire économique &amp; sociale internationale », 2019 (1 126 p.).</w:t>
      </w:r>
    </w:p>
    <w:p w14:paraId="16C8F535" w14:textId="77777777" w:rsidR="00C555F4" w:rsidRPr="00942AE9" w:rsidRDefault="00C555F4" w:rsidP="00E35717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942AE9">
        <w:rPr>
          <w:rFonts w:ascii="Georgia" w:hAnsi="Georgia"/>
          <w:bCs/>
        </w:rPr>
        <w:t xml:space="preserve">« Bordeaux vers une ville moderne (1815-1870 » (p. 213-230) ; « Une cité-port, de l’industrie aux outre-mers (1870-1914) » (p. 232-253), in Michel Figeac (dir.), </w:t>
      </w:r>
      <w:r w:rsidRPr="00942AE9">
        <w:rPr>
          <w:rFonts w:ascii="Georgia" w:hAnsi="Georgia"/>
          <w:bCs/>
          <w:i/>
        </w:rPr>
        <w:t>Histoire de Bordeaux</w:t>
      </w:r>
      <w:r w:rsidRPr="00942AE9">
        <w:rPr>
          <w:rFonts w:ascii="Georgia" w:hAnsi="Georgia"/>
          <w:bCs/>
        </w:rPr>
        <w:t>, Rennes, Presses universitaires de Rennes, 2019.</w:t>
      </w:r>
    </w:p>
    <w:p w14:paraId="3673BE9B" w14:textId="77777777" w:rsidR="002A3253" w:rsidRPr="00942AE9" w:rsidRDefault="00C555F4" w:rsidP="00E35717">
      <w:pPr>
        <w:spacing w:after="0" w:line="240" w:lineRule="auto"/>
        <w:rPr>
          <w:rFonts w:ascii="Georgia" w:hAnsi="Georgia"/>
        </w:rPr>
      </w:pPr>
      <w:r w:rsidRPr="00942AE9">
        <w:rPr>
          <w:rFonts w:ascii="Georgia" w:hAnsi="Georgia"/>
        </w:rPr>
        <w:t xml:space="preserve">« Les banquiers Perier et la place bancaire parisienne au </w:t>
      </w:r>
      <w:r w:rsidRPr="00942AE9">
        <w:rPr>
          <w:rFonts w:ascii="Georgia" w:hAnsi="Georgia"/>
          <w:smallCaps/>
        </w:rPr>
        <w:t>xix</w:t>
      </w:r>
      <w:r w:rsidRPr="00942AE9">
        <w:rPr>
          <w:rFonts w:ascii="Georgia" w:hAnsi="Georgia"/>
          <w:vertAlign w:val="superscript"/>
        </w:rPr>
        <w:t>e</w:t>
      </w:r>
      <w:r w:rsidRPr="00942AE9">
        <w:rPr>
          <w:rFonts w:ascii="Georgia" w:hAnsi="Georgia"/>
        </w:rPr>
        <w:t xml:space="preserve"> siècle », in Alain Laquièze, Élina Lemaire &amp; Éric Peuchot (dir.), </w:t>
      </w:r>
      <w:r w:rsidRPr="00942AE9">
        <w:rPr>
          <w:rFonts w:ascii="Georgia" w:hAnsi="Georgia"/>
          <w:i/>
        </w:rPr>
        <w:t>Les Perier. Une famille au service de l’État</w:t>
      </w:r>
      <w:r w:rsidRPr="00942AE9">
        <w:rPr>
          <w:rFonts w:ascii="Georgia" w:hAnsi="Georgia"/>
        </w:rPr>
        <w:t>, Éditions du Cerf, « Patrimoines », 2019, p. 191-220.</w:t>
      </w:r>
    </w:p>
    <w:p w14:paraId="11641DAC" w14:textId="77777777" w:rsidR="00C555F4" w:rsidRPr="00942AE9" w:rsidRDefault="00C555F4" w:rsidP="00E35717">
      <w:pPr>
        <w:numPr>
          <w:ilvl w:val="0"/>
          <w:numId w:val="3"/>
        </w:numPr>
        <w:spacing w:after="0" w:line="240" w:lineRule="auto"/>
        <w:rPr>
          <w:rFonts w:ascii="Georgia" w:hAnsi="Georgia" w:cs="Arial"/>
        </w:rPr>
      </w:pPr>
      <w:r w:rsidRPr="00942AE9">
        <w:rPr>
          <w:rFonts w:ascii="Georgia" w:hAnsi="Georgia" w:cs="Arial"/>
        </w:rPr>
        <w:t xml:space="preserve">« Les affaires de la Société générale dans l’Empire ottoman (1890-1914) », </w:t>
      </w:r>
      <w:r w:rsidRPr="00942AE9">
        <w:rPr>
          <w:rFonts w:ascii="Georgia" w:hAnsi="Georgia" w:cs="Arial"/>
          <w:i/>
        </w:rPr>
        <w:t>Revue d’histoire diplomatique</w:t>
      </w:r>
      <w:r w:rsidRPr="00942AE9">
        <w:rPr>
          <w:rFonts w:ascii="Georgia" w:hAnsi="Georgia" w:cs="Arial"/>
        </w:rPr>
        <w:t xml:space="preserve"> (Pedone), 2019, n° 1, p. 3-15.</w:t>
      </w:r>
    </w:p>
    <w:p w14:paraId="48D30F66" w14:textId="77777777" w:rsidR="00C555F4" w:rsidRPr="00942AE9" w:rsidRDefault="00C555F4" w:rsidP="00E35717">
      <w:pPr>
        <w:numPr>
          <w:ilvl w:val="0"/>
          <w:numId w:val="3"/>
        </w:numPr>
        <w:spacing w:after="0" w:line="240" w:lineRule="auto"/>
        <w:rPr>
          <w:rFonts w:ascii="Georgia" w:eastAsia="Calibri" w:hAnsi="Georgia" w:cs="Times New Roman"/>
          <w:bCs/>
        </w:rPr>
      </w:pPr>
      <w:r w:rsidRPr="00942AE9">
        <w:rPr>
          <w:rFonts w:ascii="Georgia" w:eastAsia="Calibri" w:hAnsi="Georgia" w:cs="Times New Roman"/>
          <w:bCs/>
          <w:i/>
        </w:rPr>
        <w:t xml:space="preserve">Bordeaux grand port industriel au </w:t>
      </w:r>
      <w:r w:rsidRPr="00942AE9">
        <w:rPr>
          <w:rFonts w:ascii="Georgia" w:eastAsia="Calibri" w:hAnsi="Georgia" w:cs="Times New Roman"/>
          <w:bCs/>
          <w:i/>
          <w:smallCaps/>
        </w:rPr>
        <w:t>xix</w:t>
      </w:r>
      <w:r w:rsidRPr="00942AE9">
        <w:rPr>
          <w:rFonts w:ascii="Georgia" w:eastAsia="Calibri" w:hAnsi="Georgia" w:cs="Times New Roman"/>
          <w:bCs/>
          <w:i/>
          <w:vertAlign w:val="superscript"/>
        </w:rPr>
        <w:t>e</w:t>
      </w:r>
      <w:r w:rsidRPr="00942AE9">
        <w:rPr>
          <w:rFonts w:ascii="Georgia" w:eastAsia="Calibri" w:hAnsi="Georgia" w:cs="Times New Roman"/>
          <w:bCs/>
          <w:i/>
        </w:rPr>
        <w:t xml:space="preserve"> siècle (des années 1800 aux années 1880)</w:t>
      </w:r>
      <w:r w:rsidRPr="00942AE9">
        <w:rPr>
          <w:rFonts w:ascii="Georgia" w:eastAsia="Calibri" w:hAnsi="Georgia" w:cs="Times New Roman"/>
          <w:bCs/>
        </w:rPr>
        <w:t>, Paris, Les Indes savantes, 2017 (350 p.).</w:t>
      </w:r>
    </w:p>
    <w:p w14:paraId="64029392" w14:textId="77777777" w:rsidR="00C555F4" w:rsidRPr="00942AE9" w:rsidRDefault="00C555F4" w:rsidP="00E35717">
      <w:pPr>
        <w:numPr>
          <w:ilvl w:val="0"/>
          <w:numId w:val="3"/>
        </w:numPr>
        <w:spacing w:after="0" w:line="240" w:lineRule="auto"/>
        <w:rPr>
          <w:rFonts w:ascii="Georgia" w:eastAsia="Calibri" w:hAnsi="Georgia" w:cs="Helvetica"/>
        </w:rPr>
      </w:pPr>
      <w:r w:rsidRPr="00942AE9">
        <w:rPr>
          <w:rFonts w:ascii="Georgia" w:eastAsia="Calibri" w:hAnsi="Georgia" w:cs="Times New Roman"/>
          <w:bCs/>
        </w:rPr>
        <w:t>(Avec</w:t>
      </w:r>
      <w:r w:rsidRPr="00942AE9">
        <w:rPr>
          <w:rFonts w:ascii="Georgia" w:eastAsia="Calibri" w:hAnsi="Georgia" w:cs="Helvetica"/>
        </w:rPr>
        <w:t xml:space="preserve"> Christophe Bouneau, dir.), </w:t>
      </w:r>
      <w:r w:rsidRPr="00942AE9">
        <w:rPr>
          <w:rFonts w:ascii="Georgia" w:eastAsia="Calibri" w:hAnsi="Georgia" w:cs="Helvetica"/>
          <w:i/>
        </w:rPr>
        <w:t>Paris-Bordeaux en train. Les trois étapes de la modernité ferroviaire, 1844-2016</w:t>
      </w:r>
      <w:r w:rsidRPr="00942AE9">
        <w:rPr>
          <w:rFonts w:ascii="Georgia" w:eastAsia="Calibri" w:hAnsi="Georgia" w:cs="Helvetica"/>
        </w:rPr>
        <w:t>, Villeneuve-d’Ascq, Presses du Septentrion, « Histoire &amp; civilisations », 2016.</w:t>
      </w:r>
    </w:p>
    <w:p w14:paraId="51E427DF" w14:textId="77777777" w:rsidR="00C555F4" w:rsidRPr="00942AE9" w:rsidRDefault="00C555F4" w:rsidP="00E35717">
      <w:pPr>
        <w:numPr>
          <w:ilvl w:val="0"/>
          <w:numId w:val="3"/>
        </w:numPr>
        <w:spacing w:after="0" w:line="240" w:lineRule="auto"/>
        <w:rPr>
          <w:rFonts w:ascii="Georgia" w:eastAsia="Calibri" w:hAnsi="Georgia" w:cs="Times New Roman"/>
          <w:bCs/>
          <w:i/>
        </w:rPr>
      </w:pPr>
      <w:r w:rsidRPr="00942AE9">
        <w:rPr>
          <w:rFonts w:ascii="Georgia" w:eastAsia="Calibri" w:hAnsi="Georgia" w:cs="Times New Roman"/>
          <w:iCs/>
        </w:rPr>
        <w:t xml:space="preserve">« La finance à particule ou l’investissement des anciennes élites nobiliaires dans la banque aux </w:t>
      </w:r>
      <w:r w:rsidRPr="00942AE9">
        <w:rPr>
          <w:rFonts w:ascii="Georgia" w:eastAsia="Calibri" w:hAnsi="Georgia" w:cs="Times New Roman"/>
          <w:iCs/>
          <w:smallCaps/>
        </w:rPr>
        <w:t>xix</w:t>
      </w:r>
      <w:r w:rsidRPr="00942AE9">
        <w:rPr>
          <w:rFonts w:ascii="Georgia" w:eastAsia="Calibri" w:hAnsi="Georgia" w:cs="Times New Roman"/>
          <w:iCs/>
          <w:vertAlign w:val="superscript"/>
        </w:rPr>
        <w:t>e</w:t>
      </w:r>
      <w:r w:rsidRPr="00942AE9">
        <w:rPr>
          <w:rFonts w:ascii="Georgia" w:eastAsia="Calibri" w:hAnsi="Georgia" w:cs="Times New Roman"/>
          <w:iCs/>
        </w:rPr>
        <w:t>-</w:t>
      </w:r>
      <w:r w:rsidRPr="00942AE9">
        <w:rPr>
          <w:rFonts w:ascii="Georgia" w:eastAsia="Calibri" w:hAnsi="Georgia" w:cs="Times New Roman"/>
          <w:iCs/>
          <w:smallCaps/>
        </w:rPr>
        <w:t>xx</w:t>
      </w:r>
      <w:r w:rsidRPr="00942AE9">
        <w:rPr>
          <w:rFonts w:ascii="Georgia" w:eastAsia="Calibri" w:hAnsi="Georgia" w:cs="Times New Roman"/>
          <w:iCs/>
          <w:vertAlign w:val="superscript"/>
        </w:rPr>
        <w:t>e</w:t>
      </w:r>
      <w:r w:rsidRPr="00942AE9">
        <w:rPr>
          <w:rFonts w:ascii="Georgia" w:eastAsia="Calibri" w:hAnsi="Georgia" w:cs="Times New Roman"/>
          <w:i/>
          <w:iCs/>
        </w:rPr>
        <w:t xml:space="preserve"> </w:t>
      </w:r>
      <w:r w:rsidRPr="00942AE9">
        <w:rPr>
          <w:rFonts w:ascii="Georgia" w:eastAsia="Calibri" w:hAnsi="Georgia" w:cs="Times New Roman"/>
          <w:iCs/>
        </w:rPr>
        <w:t xml:space="preserve">siècles », in Florence Descamps, Roger Nougaret &amp; Laure Quenouëlle-Corre (dir.), </w:t>
      </w:r>
      <w:r w:rsidRPr="00942AE9">
        <w:rPr>
          <w:rFonts w:ascii="Georgia" w:eastAsia="Calibri" w:hAnsi="Georgia" w:cs="Times New Roman"/>
          <w:i/>
          <w:iCs/>
        </w:rPr>
        <w:t xml:space="preserve">Banque et société, </w:t>
      </w:r>
      <w:r w:rsidRPr="00942AE9">
        <w:rPr>
          <w:rFonts w:ascii="Georgia" w:eastAsia="Calibri" w:hAnsi="Georgia" w:cs="Times New Roman"/>
          <w:i/>
          <w:iCs/>
          <w:smallCaps/>
        </w:rPr>
        <w:t>xix</w:t>
      </w:r>
      <w:r w:rsidRPr="00942AE9">
        <w:rPr>
          <w:rFonts w:ascii="Georgia" w:eastAsia="Calibri" w:hAnsi="Georgia" w:cs="Times New Roman"/>
          <w:i/>
          <w:iCs/>
          <w:vertAlign w:val="superscript"/>
        </w:rPr>
        <w:t>e</w:t>
      </w:r>
      <w:r w:rsidRPr="00942AE9">
        <w:rPr>
          <w:rFonts w:ascii="Georgia" w:eastAsia="Calibri" w:hAnsi="Georgia" w:cs="Times New Roman"/>
          <w:i/>
          <w:iCs/>
        </w:rPr>
        <w:t>-</w:t>
      </w:r>
      <w:r w:rsidRPr="00942AE9">
        <w:rPr>
          <w:rFonts w:ascii="Georgia" w:eastAsia="Calibri" w:hAnsi="Georgia" w:cs="Times New Roman"/>
          <w:i/>
          <w:iCs/>
          <w:smallCaps/>
        </w:rPr>
        <w:t>xx</w:t>
      </w:r>
      <w:r w:rsidRPr="00942AE9">
        <w:rPr>
          <w:rFonts w:ascii="Georgia" w:eastAsia="Calibri" w:hAnsi="Georgia" w:cs="Times New Roman"/>
          <w:i/>
          <w:iCs/>
          <w:vertAlign w:val="superscript"/>
        </w:rPr>
        <w:t>e</w:t>
      </w:r>
      <w:r w:rsidRPr="00942AE9">
        <w:rPr>
          <w:rFonts w:ascii="Georgia" w:eastAsia="Calibri" w:hAnsi="Georgia" w:cs="Times New Roman"/>
          <w:i/>
          <w:iCs/>
        </w:rPr>
        <w:t xml:space="preserve"> siècles. Identités croisées. Hommage à Pierre de Longuemar</w:t>
      </w:r>
      <w:r w:rsidRPr="00942AE9">
        <w:rPr>
          <w:rFonts w:ascii="Georgia" w:eastAsia="Calibri" w:hAnsi="Georgia" w:cs="Times New Roman"/>
          <w:iCs/>
        </w:rPr>
        <w:t>, Bruxelles, Peter Lang, 2016, p. 261-276.</w:t>
      </w:r>
    </w:p>
    <w:p w14:paraId="38DA7C11" w14:textId="77777777" w:rsidR="00C555F4" w:rsidRPr="00942AE9" w:rsidRDefault="00C555F4" w:rsidP="00E35717">
      <w:pPr>
        <w:numPr>
          <w:ilvl w:val="0"/>
          <w:numId w:val="3"/>
        </w:numPr>
        <w:spacing w:after="0" w:line="240" w:lineRule="auto"/>
        <w:rPr>
          <w:rFonts w:ascii="Georgia" w:eastAsia="Calibri" w:hAnsi="Georgia" w:cs="Times New Roman"/>
          <w:bCs/>
          <w:i/>
        </w:rPr>
      </w:pPr>
      <w:r w:rsidRPr="00942AE9">
        <w:rPr>
          <w:rFonts w:ascii="Georgia" w:eastAsia="Calibri" w:hAnsi="Georgia" w:cs="Times New Roman"/>
          <w:bCs/>
          <w:i/>
        </w:rPr>
        <w:t>De l’océan Indien aux Antilles : Faure frères. Une dynastie de négociants et armateurs  bordelais (1795-1930)</w:t>
      </w:r>
      <w:r w:rsidRPr="00942AE9">
        <w:rPr>
          <w:rFonts w:ascii="Georgia" w:eastAsia="Calibri" w:hAnsi="Georgia" w:cs="Times New Roman"/>
          <w:bCs/>
        </w:rPr>
        <w:t>, Paris, Les Indes savantes, 2015.</w:t>
      </w:r>
    </w:p>
    <w:p w14:paraId="30D65ACA" w14:textId="77777777" w:rsidR="00C555F4" w:rsidRPr="00942AE9" w:rsidRDefault="00C555F4" w:rsidP="00E35717">
      <w:pPr>
        <w:pStyle w:val="Listepuces2"/>
        <w:numPr>
          <w:ilvl w:val="0"/>
          <w:numId w:val="3"/>
        </w:numPr>
      </w:pPr>
      <w:r w:rsidRPr="00942AE9">
        <w:t xml:space="preserve">« Albert Kahn, ou l’esprit d’entreprise appliqué à la banque et à la finance », in Musée Albert Kahn (dir.), </w:t>
      </w:r>
      <w:r w:rsidRPr="00942AE9">
        <w:rPr>
          <w:i/>
        </w:rPr>
        <w:t>Albert Kahn, singulier et pluriel</w:t>
      </w:r>
      <w:r w:rsidR="00E35717" w:rsidRPr="00942AE9">
        <w:t>, Paris, Lienart, 2015, p. </w:t>
      </w:r>
      <w:r w:rsidRPr="00942AE9">
        <w:t>34-51.</w:t>
      </w:r>
    </w:p>
    <w:p w14:paraId="2A65BD38" w14:textId="77777777" w:rsidR="00C555F4" w:rsidRPr="00942AE9" w:rsidRDefault="00C555F4" w:rsidP="00E35717">
      <w:pPr>
        <w:numPr>
          <w:ilvl w:val="0"/>
          <w:numId w:val="3"/>
        </w:numPr>
        <w:spacing w:after="0" w:line="240" w:lineRule="auto"/>
        <w:rPr>
          <w:rFonts w:ascii="Georgia" w:hAnsi="Georgia"/>
          <w:bCs/>
        </w:rPr>
      </w:pPr>
      <w:r w:rsidRPr="00942AE9">
        <w:rPr>
          <w:rFonts w:ascii="Georgia" w:hAnsi="Georgia"/>
          <w:bCs/>
          <w:i/>
          <w:iCs/>
        </w:rPr>
        <w:t>Banque et identité commerciale. La Société générale, 1864-2014</w:t>
      </w:r>
      <w:r w:rsidRPr="00942AE9">
        <w:rPr>
          <w:rFonts w:ascii="Georgia" w:hAnsi="Georgia"/>
          <w:bCs/>
        </w:rPr>
        <w:t>, Villeneuve-d’Ascq</w:t>
      </w:r>
      <w:r w:rsidR="00E35717" w:rsidRPr="00942AE9">
        <w:rPr>
          <w:rFonts w:ascii="Georgia" w:hAnsi="Georgia"/>
          <w:bCs/>
        </w:rPr>
        <w:t>, Presses du Septentrion, 2014</w:t>
      </w:r>
      <w:r w:rsidRPr="00942AE9">
        <w:rPr>
          <w:rFonts w:ascii="Georgia" w:hAnsi="Georgia"/>
          <w:bCs/>
        </w:rPr>
        <w:t>.</w:t>
      </w:r>
    </w:p>
    <w:p w14:paraId="1C18CBE9" w14:textId="77777777" w:rsidR="00C555F4" w:rsidRPr="00942AE9" w:rsidRDefault="00C555F4" w:rsidP="00E3571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MinionPro-Regular"/>
        </w:rPr>
      </w:pPr>
      <w:r w:rsidRPr="00942AE9">
        <w:rPr>
          <w:rFonts w:ascii="Georgia" w:hAnsi="Georgia"/>
        </w:rPr>
        <w:t>« Les banques savoyardes enracinées dans l’économie régionale (des années 1860 aux années 1980) », i</w:t>
      </w:r>
      <w:r w:rsidRPr="00942AE9">
        <w:rPr>
          <w:rFonts w:ascii="Georgia" w:hAnsi="Georgia" w:cs="MinionPro-Regular"/>
        </w:rPr>
        <w:t xml:space="preserve">n Denis Varaschin, Hubert Bonin &amp; Yves Bouvier (dir.), </w:t>
      </w:r>
      <w:r w:rsidRPr="00942AE9">
        <w:rPr>
          <w:rFonts w:ascii="Georgia" w:hAnsi="Georgia" w:cs="MinionPro-Regular"/>
          <w:i/>
          <w:iCs/>
        </w:rPr>
        <w:t>Histoire économique et sociale de la Savoie, de 1860 à nos jour</w:t>
      </w:r>
      <w:r w:rsidRPr="00942AE9">
        <w:rPr>
          <w:rFonts w:ascii="Georgia" w:hAnsi="Georgia" w:cs="MinionPro-Regular"/>
        </w:rPr>
        <w:t>s, « Publications d’histoire économique &amp; sociale internationale, n°30 », Genève, Droz, 2014, p. 81-192.</w:t>
      </w:r>
    </w:p>
    <w:p w14:paraId="7E5376D1" w14:textId="77777777" w:rsidR="00C555F4" w:rsidRPr="00942AE9" w:rsidRDefault="00C555F4" w:rsidP="00E35717">
      <w:pPr>
        <w:pStyle w:val="Listepuces2"/>
        <w:numPr>
          <w:ilvl w:val="0"/>
          <w:numId w:val="3"/>
        </w:numPr>
        <w:rPr>
          <w:lang w:val="en-GB"/>
        </w:rPr>
      </w:pPr>
      <w:r w:rsidRPr="00942AE9">
        <w:rPr>
          <w:lang w:val="en-GB"/>
        </w:rPr>
        <w:t xml:space="preserve">« Europeanized French bankers? (from the 1830s to the 1970s) », </w:t>
      </w:r>
      <w:r w:rsidRPr="00942AE9">
        <w:rPr>
          <w:i/>
          <w:iCs/>
          <w:lang w:val="en-GB"/>
        </w:rPr>
        <w:t>Business History</w:t>
      </w:r>
      <w:r w:rsidRPr="00942AE9">
        <w:rPr>
          <w:lang w:val="en-GB"/>
        </w:rPr>
        <w:t>, Routledge, octobre-décembre 2014, volume 56, n° 7-8, p. 1312-1334.</w:t>
      </w:r>
    </w:p>
    <w:p w14:paraId="63023393" w14:textId="77777777" w:rsidR="00C555F4" w:rsidRPr="00942AE9" w:rsidRDefault="00C555F4" w:rsidP="00E35717">
      <w:pPr>
        <w:pStyle w:val="Listepuces2"/>
        <w:numPr>
          <w:ilvl w:val="0"/>
          <w:numId w:val="3"/>
        </w:numPr>
        <w:rPr>
          <w:lang w:val="en-GB"/>
        </w:rPr>
      </w:pPr>
      <w:r w:rsidRPr="00942AE9">
        <w:rPr>
          <w:i/>
          <w:iCs/>
          <w:lang w:val="en-GB"/>
        </w:rPr>
        <w:lastRenderedPageBreak/>
        <w:t>French Banks and the Greek “Niche Market”, mid-1880s-1950s</w:t>
      </w:r>
      <w:r w:rsidRPr="00942AE9">
        <w:rPr>
          <w:lang w:val="en-GB"/>
        </w:rPr>
        <w:t xml:space="preserve">, Genève, Droz, “Publications d’histoire économique </w:t>
      </w:r>
      <w:r w:rsidR="00E35717" w:rsidRPr="00942AE9">
        <w:rPr>
          <w:lang w:val="en-GB"/>
        </w:rPr>
        <w:t>&amp;</w:t>
      </w:r>
      <w:r w:rsidRPr="00942AE9">
        <w:rPr>
          <w:lang w:val="en-GB"/>
        </w:rPr>
        <w:t xml:space="preserve"> sociale internationale”, 2013.</w:t>
      </w:r>
    </w:p>
    <w:p w14:paraId="66816DC9" w14:textId="77777777" w:rsidR="00C555F4" w:rsidRPr="00942AE9" w:rsidRDefault="00C555F4" w:rsidP="00E35717">
      <w:pPr>
        <w:pStyle w:val="Listepuces2"/>
      </w:pPr>
      <w:r w:rsidRPr="00942AE9">
        <w:t xml:space="preserve">« La stratégie de déploiement international de la Société générale (des années 1870 aux années 1970) », </w:t>
      </w:r>
      <w:r w:rsidRPr="00942AE9">
        <w:rPr>
          <w:i/>
        </w:rPr>
        <w:t>Revue d’histoire diplomatique</w:t>
      </w:r>
      <w:r w:rsidRPr="00942AE9">
        <w:t xml:space="preserve">, </w:t>
      </w:r>
      <w:r w:rsidR="00E35717" w:rsidRPr="00942AE9">
        <w:t xml:space="preserve">2013, </w:t>
      </w:r>
      <w:r w:rsidRPr="00942AE9">
        <w:t xml:space="preserve">tome </w:t>
      </w:r>
      <w:r w:rsidRPr="00942AE9">
        <w:rPr>
          <w:smallCaps/>
        </w:rPr>
        <w:t>cxxvii</w:t>
      </w:r>
      <w:r w:rsidRPr="00942AE9">
        <w:t>, p. 327-348.</w:t>
      </w:r>
    </w:p>
    <w:p w14:paraId="0E5D9AA1" w14:textId="77777777" w:rsidR="00C555F4" w:rsidRPr="00942AE9" w:rsidRDefault="00C555F4" w:rsidP="00E35717">
      <w:pPr>
        <w:pStyle w:val="Listepuces2"/>
        <w:numPr>
          <w:ilvl w:val="0"/>
          <w:numId w:val="3"/>
        </w:numPr>
      </w:pPr>
      <w:r w:rsidRPr="00942AE9">
        <w:t xml:space="preserve">« Les quatre crises de la Société générale (1886-2008). La crise d’un modèle économique au cœur des crises conjoncturelles », </w:t>
      </w:r>
      <w:r w:rsidRPr="00942AE9">
        <w:rPr>
          <w:i/>
          <w:iCs/>
        </w:rPr>
        <w:t>Revue historique</w:t>
      </w:r>
      <w:r w:rsidRPr="00942AE9">
        <w:t xml:space="preserve">, </w:t>
      </w:r>
      <w:r w:rsidR="00E35717" w:rsidRPr="00942AE9">
        <w:t xml:space="preserve">octobre 2013, </w:t>
      </w:r>
      <w:r w:rsidRPr="00942AE9">
        <w:t>n°</w:t>
      </w:r>
      <w:r w:rsidR="00E35717" w:rsidRPr="00942AE9">
        <w:t> </w:t>
      </w:r>
      <w:r w:rsidRPr="00942AE9">
        <w:t>668, p. 905-933.</w:t>
      </w:r>
    </w:p>
    <w:p w14:paraId="3801C777" w14:textId="77777777" w:rsidR="00C555F4" w:rsidRPr="00942AE9" w:rsidRDefault="00C555F4" w:rsidP="00E35717">
      <w:pPr>
        <w:pStyle w:val="Listepuces2"/>
        <w:numPr>
          <w:ilvl w:val="0"/>
          <w:numId w:val="3"/>
        </w:numPr>
      </w:pPr>
      <w:r w:rsidRPr="00942AE9">
        <w:rPr>
          <w:i/>
          <w:iCs/>
        </w:rPr>
        <w:t>Les tabous de l’extrême droite à Bordeaux</w:t>
      </w:r>
      <w:r w:rsidRPr="00942AE9">
        <w:t>, Bordeaux, Le Festin, 2012.</w:t>
      </w:r>
    </w:p>
    <w:p w14:paraId="374DE3D1" w14:textId="77777777" w:rsidR="00E35717" w:rsidRPr="00942AE9" w:rsidRDefault="00E35717" w:rsidP="00E35717">
      <w:pPr>
        <w:pStyle w:val="Listepuces2"/>
        <w:numPr>
          <w:ilvl w:val="0"/>
          <w:numId w:val="3"/>
        </w:numPr>
      </w:pPr>
      <w:r w:rsidRPr="00942AE9">
        <w:t xml:space="preserve">« Les Pereire et Lesseps : gloire, opprobre et valorisation, ou les cycles de la perception historique », in Maurice Hamon et Ange Royère (dir.), </w:t>
      </w:r>
      <w:r w:rsidRPr="00942AE9">
        <w:rPr>
          <w:i/>
        </w:rPr>
        <w:t>Être reconnu en son temps. Personnalités et notables aux Temps modernes</w:t>
      </w:r>
      <w:r w:rsidRPr="00942AE9">
        <w:t xml:space="preserve">, collection « Actes des congrès des sociétés historiques et scientifiques », Paris, Éditions du </w:t>
      </w:r>
      <w:r w:rsidRPr="00942AE9">
        <w:rPr>
          <w:smallCaps/>
        </w:rPr>
        <w:t>Cths</w:t>
      </w:r>
      <w:r w:rsidRPr="00942AE9">
        <w:t>, 2012, p. 109-124.</w:t>
      </w:r>
    </w:p>
    <w:p w14:paraId="42299C9F" w14:textId="77777777" w:rsidR="00E35717" w:rsidRPr="00942AE9" w:rsidRDefault="00E35717" w:rsidP="00E35717">
      <w:pPr>
        <w:pStyle w:val="Listepuces2"/>
        <w:numPr>
          <w:ilvl w:val="0"/>
          <w:numId w:val="3"/>
        </w:numPr>
      </w:pPr>
      <w:r w:rsidRPr="00942AE9">
        <w:t xml:space="preserve">« L’incorporation bancaire de 1860. Une simple annexion ou une chance d’intégration ? », in Sylvain Mirbach (dir.), </w:t>
      </w:r>
      <w:r w:rsidRPr="00942AE9">
        <w:rPr>
          <w:i/>
          <w:iCs/>
        </w:rPr>
        <w:t>1860. La Savoie, la France, l’Europe</w:t>
      </w:r>
      <w:r w:rsidRPr="00942AE9">
        <w:t>, Bruxelles, Peter Lang, 2012, pp. 131-142.</w:t>
      </w:r>
    </w:p>
    <w:p w14:paraId="516A557B" w14:textId="77777777" w:rsidR="00E35717" w:rsidRPr="00942AE9" w:rsidRDefault="00E35717" w:rsidP="00E35717">
      <w:pPr>
        <w:pStyle w:val="Listepuces2"/>
        <w:numPr>
          <w:ilvl w:val="0"/>
          <w:numId w:val="3"/>
        </w:numPr>
        <w:rPr>
          <w:lang w:val="en-GB"/>
        </w:rPr>
      </w:pPr>
      <w:r w:rsidRPr="00942AE9">
        <w:rPr>
          <w:i/>
          <w:iCs/>
          <w:lang w:val="en-GB"/>
        </w:rPr>
        <w:t>History of the Suez Canal Company, 1858-1960. Between Controversy and Utility</w:t>
      </w:r>
      <w:r w:rsidRPr="00942AE9">
        <w:rPr>
          <w:lang w:val="en-GB"/>
        </w:rPr>
        <w:t>, Genève, Droz, 2010.</w:t>
      </w:r>
    </w:p>
    <w:p w14:paraId="775E21BA" w14:textId="77777777" w:rsidR="00903CD6" w:rsidRPr="00942AE9" w:rsidRDefault="00E35717" w:rsidP="00903CD6">
      <w:pPr>
        <w:pStyle w:val="Listepuces2"/>
        <w:numPr>
          <w:ilvl w:val="0"/>
          <w:numId w:val="3"/>
        </w:numPr>
      </w:pPr>
      <w:r w:rsidRPr="00942AE9">
        <w:rPr>
          <w:i/>
          <w:iCs/>
        </w:rPr>
        <w:t xml:space="preserve">Banque et bourgeoisies. La Société bordelaise de </w:t>
      </w:r>
      <w:r w:rsidRPr="00942AE9">
        <w:rPr>
          <w:i/>
          <w:iCs/>
          <w:smallCaps/>
        </w:rPr>
        <w:t>Cic</w:t>
      </w:r>
      <w:r w:rsidRPr="00942AE9">
        <w:rPr>
          <w:i/>
          <w:iCs/>
        </w:rPr>
        <w:t xml:space="preserve"> (1880-2005)</w:t>
      </w:r>
      <w:r w:rsidRPr="00942AE9">
        <w:t>, Bruxelles, Peter Lang, 2010.</w:t>
      </w:r>
    </w:p>
    <w:p w14:paraId="7140D8CC" w14:textId="77777777" w:rsidR="00903CD6" w:rsidRPr="00942AE9" w:rsidRDefault="00903CD6" w:rsidP="00903CD6">
      <w:pPr>
        <w:pStyle w:val="Listepuces2"/>
        <w:numPr>
          <w:ilvl w:val="0"/>
          <w:numId w:val="3"/>
        </w:numPr>
      </w:pPr>
      <w:r w:rsidRPr="00942AE9">
        <w:t xml:space="preserve">« La Grande Dépression de la fin du dix-neuvième siècle. Réflexions sur sa datation et sur sa fonction », </w:t>
      </w:r>
      <w:r w:rsidRPr="00942AE9">
        <w:rPr>
          <w:i/>
        </w:rPr>
        <w:t>Histoire, Économie, Société</w:t>
      </w:r>
      <w:r w:rsidRPr="00942AE9">
        <w:t>, 4</w:t>
      </w:r>
      <w:r w:rsidRPr="00942AE9">
        <w:rPr>
          <w:vertAlign w:val="superscript"/>
        </w:rPr>
        <w:t>e</w:t>
      </w:r>
      <w:r w:rsidRPr="00942AE9">
        <w:t xml:space="preserve"> trimestre 1987, p. 509-534.</w:t>
      </w:r>
    </w:p>
    <w:p w14:paraId="5FCA109B" w14:textId="77777777" w:rsidR="00C555F4" w:rsidRPr="00942AE9" w:rsidRDefault="00C555F4" w:rsidP="00C555F4">
      <w:pPr>
        <w:spacing w:after="0" w:line="240" w:lineRule="auto"/>
        <w:rPr>
          <w:rFonts w:ascii="Georgia" w:hAnsi="Georgia"/>
        </w:rPr>
      </w:pPr>
    </w:p>
    <w:sectPr w:rsidR="00C555F4" w:rsidRPr="00942AE9" w:rsidSect="0015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16D"/>
    <w:multiLevelType w:val="hybridMultilevel"/>
    <w:tmpl w:val="636CA946"/>
    <w:lvl w:ilvl="0" w:tplc="A4EA4A1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3A98"/>
    <w:multiLevelType w:val="hybridMultilevel"/>
    <w:tmpl w:val="B26ED9D0"/>
    <w:lvl w:ilvl="0" w:tplc="CF269B3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96912"/>
    <w:multiLevelType w:val="hybridMultilevel"/>
    <w:tmpl w:val="3F2CFA76"/>
    <w:lvl w:ilvl="0" w:tplc="A4EA4A1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95122"/>
    <w:multiLevelType w:val="hybridMultilevel"/>
    <w:tmpl w:val="8C3C7CC0"/>
    <w:lvl w:ilvl="0" w:tplc="A4EA4A1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843A4"/>
    <w:multiLevelType w:val="hybridMultilevel"/>
    <w:tmpl w:val="9A0062D0"/>
    <w:lvl w:ilvl="0" w:tplc="2B501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3771445">
    <w:abstractNumId w:val="2"/>
  </w:num>
  <w:num w:numId="2" w16cid:durableId="19742176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5361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5884315">
    <w:abstractNumId w:val="1"/>
  </w:num>
  <w:num w:numId="5" w16cid:durableId="747768983">
    <w:abstractNumId w:val="0"/>
  </w:num>
  <w:num w:numId="6" w16cid:durableId="134687555">
    <w:abstractNumId w:val="3"/>
  </w:num>
  <w:num w:numId="7" w16cid:durableId="18012647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9747318">
    <w:abstractNumId w:val="1"/>
  </w:num>
  <w:num w:numId="9" w16cid:durableId="827478290">
    <w:abstractNumId w:val="4"/>
  </w:num>
  <w:num w:numId="10" w16cid:durableId="1349327490">
    <w:abstractNumId w:val="2"/>
  </w:num>
  <w:num w:numId="11" w16cid:durableId="14142788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7504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253"/>
    <w:rsid w:val="0012768A"/>
    <w:rsid w:val="00157466"/>
    <w:rsid w:val="00166F42"/>
    <w:rsid w:val="002A3253"/>
    <w:rsid w:val="00322252"/>
    <w:rsid w:val="006719C1"/>
    <w:rsid w:val="00823CCC"/>
    <w:rsid w:val="00903CD6"/>
    <w:rsid w:val="00913757"/>
    <w:rsid w:val="00942AE9"/>
    <w:rsid w:val="00C555F4"/>
    <w:rsid w:val="00CD3B2F"/>
    <w:rsid w:val="00D40CC8"/>
    <w:rsid w:val="00D90816"/>
    <w:rsid w:val="00E35717"/>
    <w:rsid w:val="00F3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5460"/>
  <w15:docId w15:val="{F7E022CF-F36B-41BC-9CD3-1FE39EE7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C555F4"/>
    <w:pPr>
      <w:tabs>
        <w:tab w:val="num" w:pos="360"/>
      </w:tabs>
      <w:spacing w:after="0" w:line="240" w:lineRule="auto"/>
    </w:pPr>
    <w:rPr>
      <w:rFonts w:ascii="Georgia" w:eastAsia="Times New Roman" w:hAnsi="Georgia" w:cs="Times New Roman"/>
      <w:snapToGrid w:val="0"/>
      <w:lang w:eastAsia="fr-FR"/>
    </w:rPr>
  </w:style>
  <w:style w:type="character" w:customStyle="1" w:styleId="arttitle">
    <w:name w:val="art_title"/>
    <w:basedOn w:val="Policepardfaut"/>
    <w:rsid w:val="00CD3B2F"/>
  </w:style>
  <w:style w:type="paragraph" w:styleId="Paragraphedeliste">
    <w:name w:val="List Paragraph"/>
    <w:basedOn w:val="Normal"/>
    <w:uiPriority w:val="34"/>
    <w:qFormat/>
    <w:rsid w:val="00942AE9"/>
    <w:pPr>
      <w:ind w:left="720"/>
      <w:contextualSpacing/>
    </w:pPr>
  </w:style>
  <w:style w:type="paragraph" w:customStyle="1" w:styleId="Paragraphedeliste1">
    <w:name w:val="Paragraphe de liste1"/>
    <w:basedOn w:val="Normal"/>
    <w:uiPriority w:val="34"/>
    <w:qFormat/>
    <w:rsid w:val="00D90816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Bonin</dc:creator>
  <cp:lastModifiedBy>hubert Bonin</cp:lastModifiedBy>
  <cp:revision>14</cp:revision>
  <dcterms:created xsi:type="dcterms:W3CDTF">2019-12-09T08:45:00Z</dcterms:created>
  <dcterms:modified xsi:type="dcterms:W3CDTF">2023-10-04T07:01:00Z</dcterms:modified>
</cp:coreProperties>
</file>