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EEE8" w14:textId="0A6D0EF6" w:rsidR="00426300" w:rsidRPr="00994CCA" w:rsidRDefault="00426300" w:rsidP="00426300">
      <w:pPr>
        <w:spacing w:after="0" w:line="240" w:lineRule="auto"/>
        <w:jc w:val="center"/>
        <w:rPr>
          <w:rFonts w:ascii="Georgia" w:hAnsi="Georgia"/>
          <w:b/>
          <w:shadow/>
        </w:rPr>
      </w:pPr>
      <w:r w:rsidRPr="00994CCA">
        <w:rPr>
          <w:rFonts w:ascii="Georgia" w:hAnsi="Georgia"/>
          <w:b/>
          <w:shadow/>
        </w:rPr>
        <w:t>H. Bonin : Publications en 20</w:t>
      </w:r>
      <w:r w:rsidR="008343C8" w:rsidRPr="00994CCA">
        <w:rPr>
          <w:rFonts w:ascii="Georgia" w:hAnsi="Georgia"/>
          <w:b/>
          <w:shadow/>
        </w:rPr>
        <w:t>2</w:t>
      </w:r>
      <w:r w:rsidR="00CE1EFA">
        <w:rPr>
          <w:rFonts w:ascii="Georgia" w:hAnsi="Georgia"/>
          <w:b/>
          <w:shadow/>
        </w:rPr>
        <w:t>2</w:t>
      </w:r>
    </w:p>
    <w:p w14:paraId="59D7F746" w14:textId="77777777" w:rsidR="00426300" w:rsidRPr="00994CCA" w:rsidRDefault="00426300" w:rsidP="00426300">
      <w:pPr>
        <w:spacing w:after="0" w:line="240" w:lineRule="auto"/>
        <w:rPr>
          <w:rFonts w:ascii="Georgia" w:hAnsi="Georgia"/>
        </w:rPr>
      </w:pPr>
    </w:p>
    <w:p w14:paraId="4D360CB9" w14:textId="77777777" w:rsidR="00426300" w:rsidRPr="00994CCA" w:rsidRDefault="00426300" w:rsidP="00426300">
      <w:pPr>
        <w:spacing w:after="0" w:line="240" w:lineRule="auto"/>
        <w:jc w:val="center"/>
        <w:rPr>
          <w:rFonts w:ascii="Georgia" w:hAnsi="Georgia"/>
          <w:b/>
        </w:rPr>
      </w:pPr>
      <w:r w:rsidRPr="00994CCA">
        <w:rPr>
          <w:rFonts w:ascii="Georgia" w:hAnsi="Georgia"/>
          <w:b/>
        </w:rPr>
        <w:t>Livres</w:t>
      </w:r>
    </w:p>
    <w:p w14:paraId="198A7823" w14:textId="170F817A" w:rsidR="00FB29D8" w:rsidRPr="00FB29D8" w:rsidRDefault="00FB29D8" w:rsidP="00FB29D8">
      <w:pPr>
        <w:numPr>
          <w:ilvl w:val="0"/>
          <w:numId w:val="4"/>
        </w:numPr>
        <w:spacing w:after="0" w:line="240" w:lineRule="auto"/>
        <w:rPr>
          <w:rFonts w:ascii="Georgia" w:hAnsi="Georgia"/>
          <w:iCs/>
        </w:rPr>
      </w:pPr>
      <w:r>
        <w:rPr>
          <w:rFonts w:ascii="Georgia" w:hAnsi="Georgia"/>
        </w:rPr>
        <w:t xml:space="preserve">(Avec Roger Nougaret, </w:t>
      </w:r>
      <w:r>
        <w:rPr>
          <w:rFonts w:ascii="Georgia" w:hAnsi="Georgia"/>
        </w:rPr>
        <w:t>dir.),</w:t>
      </w:r>
      <w:r w:rsidRPr="00C92FC6">
        <w:rPr>
          <w:rFonts w:ascii="Georgia" w:hAnsi="Georgia" w:cs="Arial"/>
          <w:i/>
        </w:rPr>
        <w:t xml:space="preserve"> </w:t>
      </w:r>
      <w:r>
        <w:rPr>
          <w:rFonts w:ascii="Georgia" w:hAnsi="Georgia" w:cs="Arial"/>
          <w:i/>
        </w:rPr>
        <w:t xml:space="preserve">The </w:t>
      </w:r>
      <w:proofErr w:type="spellStart"/>
      <w:r>
        <w:rPr>
          <w:rFonts w:ascii="Georgia" w:hAnsi="Georgia" w:cs="Arial"/>
          <w:i/>
        </w:rPr>
        <w:t>Legacy</w:t>
      </w:r>
      <w:proofErr w:type="spellEnd"/>
      <w:r>
        <w:rPr>
          <w:rFonts w:ascii="Georgia" w:hAnsi="Georgia" w:cs="Arial"/>
          <w:i/>
        </w:rPr>
        <w:t xml:space="preserve"> of Haute Banque, </w:t>
      </w:r>
      <w:proofErr w:type="spellStart"/>
      <w:r>
        <w:rPr>
          <w:rFonts w:ascii="Georgia" w:hAnsi="Georgia" w:cs="Arial"/>
          <w:i/>
        </w:rPr>
        <w:t>from</w:t>
      </w:r>
      <w:proofErr w:type="spellEnd"/>
      <w:r>
        <w:rPr>
          <w:rFonts w:ascii="Georgia" w:hAnsi="Georgia" w:cs="Arial"/>
          <w:i/>
        </w:rPr>
        <w:t xml:space="preserve"> 19th to 21st century, </w:t>
      </w:r>
      <w:r w:rsidRPr="00FB29D8">
        <w:rPr>
          <w:rFonts w:ascii="Georgia" w:hAnsi="Georgia" w:cs="Arial"/>
          <w:iCs/>
        </w:rPr>
        <w:t>Bruxelles, Peter Lang, 2022.</w:t>
      </w:r>
    </w:p>
    <w:p w14:paraId="381353B1" w14:textId="77777777" w:rsidR="00773D1D" w:rsidRDefault="00773D1D" w:rsidP="00F8430F">
      <w:pPr>
        <w:spacing w:after="0" w:line="240" w:lineRule="auto"/>
        <w:jc w:val="center"/>
        <w:rPr>
          <w:rFonts w:ascii="Georgia" w:hAnsi="Georgia"/>
          <w:b/>
          <w:bCs/>
        </w:rPr>
      </w:pPr>
    </w:p>
    <w:p w14:paraId="6D514FF1" w14:textId="35CDED3F" w:rsidR="00426300" w:rsidRPr="00994CCA" w:rsidRDefault="00426300" w:rsidP="00F8430F">
      <w:pPr>
        <w:spacing w:after="0" w:line="240" w:lineRule="auto"/>
        <w:jc w:val="center"/>
        <w:rPr>
          <w:rFonts w:ascii="Georgia" w:hAnsi="Georgia"/>
          <w:b/>
          <w:bCs/>
        </w:rPr>
      </w:pPr>
      <w:r w:rsidRPr="00994CCA">
        <w:rPr>
          <w:rFonts w:ascii="Georgia" w:hAnsi="Georgia"/>
          <w:b/>
          <w:bCs/>
        </w:rPr>
        <w:t>Chapitres de livres</w:t>
      </w:r>
    </w:p>
    <w:p w14:paraId="00D4603C" w14:textId="77777777" w:rsidR="00CE1EFA" w:rsidRDefault="00CE1EFA" w:rsidP="00CE1EFA">
      <w:pPr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« </w:t>
      </w:r>
      <w:proofErr w:type="spellStart"/>
      <w:r>
        <w:rPr>
          <w:rFonts w:ascii="Georgia" w:hAnsi="Georgia"/>
        </w:rPr>
        <w:t>Luxury</w:t>
      </w:r>
      <w:proofErr w:type="spellEnd"/>
      <w:r>
        <w:rPr>
          <w:rFonts w:ascii="Georgia" w:hAnsi="Georgia"/>
        </w:rPr>
        <w:t>, banking, and finance » (</w:t>
      </w:r>
      <w:proofErr w:type="spellStart"/>
      <w:r>
        <w:rPr>
          <w:rFonts w:ascii="Georgia" w:hAnsi="Georgia"/>
        </w:rPr>
        <w:t>chapter</w:t>
      </w:r>
      <w:proofErr w:type="spellEnd"/>
      <w:r>
        <w:rPr>
          <w:rFonts w:ascii="Georgia" w:hAnsi="Georgia"/>
        </w:rPr>
        <w:t xml:space="preserve"> 5), in Pierre-Yves Donzé, Véronique Pouillard &amp; Joanne Roberts (dir.), </w:t>
      </w:r>
      <w:r w:rsidRPr="00004788">
        <w:rPr>
          <w:rFonts w:ascii="Georgia" w:hAnsi="Georgia"/>
          <w:i/>
          <w:iCs/>
        </w:rPr>
        <w:t xml:space="preserve">The Oxford Handbook of </w:t>
      </w:r>
      <w:proofErr w:type="spellStart"/>
      <w:r w:rsidRPr="00004788">
        <w:rPr>
          <w:rFonts w:ascii="Georgia" w:hAnsi="Georgia"/>
          <w:i/>
          <w:iCs/>
        </w:rPr>
        <w:t>Luxury</w:t>
      </w:r>
      <w:proofErr w:type="spellEnd"/>
      <w:r w:rsidRPr="00004788">
        <w:rPr>
          <w:rFonts w:ascii="Georgia" w:hAnsi="Georgia"/>
          <w:i/>
          <w:iCs/>
        </w:rPr>
        <w:t xml:space="preserve"> Business</w:t>
      </w:r>
      <w:r>
        <w:rPr>
          <w:rFonts w:ascii="Georgia" w:hAnsi="Georgia"/>
        </w:rPr>
        <w:t xml:space="preserve">, Oxford, Oxford University </w:t>
      </w:r>
      <w:proofErr w:type="spellStart"/>
      <w:r>
        <w:rPr>
          <w:rFonts w:ascii="Georgia" w:hAnsi="Georgia"/>
        </w:rPr>
        <w:t>Press</w:t>
      </w:r>
      <w:proofErr w:type="spellEnd"/>
      <w:r>
        <w:rPr>
          <w:rFonts w:ascii="Georgia" w:hAnsi="Georgia"/>
        </w:rPr>
        <w:t xml:space="preserve">, </w:t>
      </w:r>
      <w:r w:rsidRPr="00CE1EFA">
        <w:rPr>
          <w:rFonts w:ascii="Georgia" w:hAnsi="Georgia"/>
        </w:rPr>
        <w:t>2022</w:t>
      </w:r>
      <w:r>
        <w:rPr>
          <w:rFonts w:ascii="Georgia" w:hAnsi="Georgia"/>
        </w:rPr>
        <w:t>, p. 79-105.</w:t>
      </w:r>
    </w:p>
    <w:p w14:paraId="3E4F2F7D" w14:textId="204E0647" w:rsidR="00FE7862" w:rsidRDefault="00C92FC6" w:rsidP="00380626">
      <w:pPr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« Gouverneurs des colonies » ; « Ivoire », in Alain Ruscio (dir.),</w:t>
      </w:r>
      <w:r w:rsidRPr="00C92FC6">
        <w:rPr>
          <w:rFonts w:ascii="Georgia" w:hAnsi="Georgia" w:cs="Arial"/>
          <w:i/>
        </w:rPr>
        <w:t xml:space="preserve"> </w:t>
      </w:r>
      <w:r w:rsidRPr="00E71C7D">
        <w:rPr>
          <w:rFonts w:ascii="Georgia" w:hAnsi="Georgia" w:cs="Arial"/>
          <w:i/>
        </w:rPr>
        <w:t>Encyclopédie de la colonisation française</w:t>
      </w:r>
      <w:r w:rsidRPr="00E71C7D">
        <w:rPr>
          <w:rFonts w:ascii="Georgia" w:hAnsi="Georgia" w:cs="Arial"/>
        </w:rPr>
        <w:t xml:space="preserve">, </w:t>
      </w:r>
      <w:r>
        <w:rPr>
          <w:rFonts w:ascii="Georgia" w:hAnsi="Georgia"/>
        </w:rPr>
        <w:t xml:space="preserve">tome </w:t>
      </w:r>
      <w:r w:rsidRPr="00C92FC6">
        <w:rPr>
          <w:rFonts w:ascii="Georgia" w:hAnsi="Georgia"/>
          <w:i/>
          <w:iCs/>
        </w:rPr>
        <w:t>G-K</w:t>
      </w:r>
      <w:r>
        <w:rPr>
          <w:rFonts w:ascii="Georgia" w:hAnsi="Georgia"/>
        </w:rPr>
        <w:t xml:space="preserve">, </w:t>
      </w:r>
      <w:r w:rsidRPr="00E71C7D">
        <w:rPr>
          <w:rFonts w:ascii="Georgia" w:hAnsi="Georgia" w:cs="Arial"/>
        </w:rPr>
        <w:t xml:space="preserve">Paris, Les Indes savantes, </w:t>
      </w:r>
      <w:r>
        <w:rPr>
          <w:rFonts w:ascii="Georgia" w:hAnsi="Georgia"/>
        </w:rPr>
        <w:t>2022.</w:t>
      </w:r>
    </w:p>
    <w:p w14:paraId="35A45ED9" w14:textId="2B256F29" w:rsidR="00F8430F" w:rsidRPr="000B4BF9" w:rsidRDefault="00FB29D8" w:rsidP="00351D77">
      <w:pPr>
        <w:numPr>
          <w:ilvl w:val="0"/>
          <w:numId w:val="7"/>
        </w:numPr>
        <w:spacing w:after="0" w:line="240" w:lineRule="auto"/>
        <w:ind w:left="0" w:firstLine="0"/>
        <w:rPr>
          <w:rFonts w:ascii="Georgia" w:hAnsi="Georgia"/>
        </w:rPr>
      </w:pPr>
      <w:r>
        <w:rPr>
          <w:rFonts w:ascii="Georgia" w:hAnsi="Georgia"/>
        </w:rPr>
        <w:t xml:space="preserve">« Introduction » (p. 21-41) ; « French Haute </w:t>
      </w:r>
      <w:proofErr w:type="gramStart"/>
      <w:r>
        <w:rPr>
          <w:rFonts w:ascii="Georgia" w:hAnsi="Georgia"/>
        </w:rPr>
        <w:t>Banque: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From</w:t>
      </w:r>
      <w:proofErr w:type="spellEnd"/>
      <w:r>
        <w:rPr>
          <w:rFonts w:ascii="Georgia" w:hAnsi="Georgia"/>
        </w:rPr>
        <w:t xml:space="preserve"> the </w:t>
      </w:r>
      <w:proofErr w:type="spellStart"/>
      <w:r>
        <w:rPr>
          <w:rFonts w:ascii="Georgia" w:hAnsi="Georgia"/>
        </w:rPr>
        <w:t>legacy</w:t>
      </w:r>
      <w:proofErr w:type="spellEnd"/>
      <w:r>
        <w:rPr>
          <w:rFonts w:ascii="Georgia" w:hAnsi="Georgia"/>
        </w:rPr>
        <w:t xml:space="preserve"> to the revival </w:t>
      </w:r>
      <w:proofErr w:type="spellStart"/>
      <w:r>
        <w:rPr>
          <w:rFonts w:ascii="Georgia" w:hAnsi="Georgia"/>
        </w:rPr>
        <w:t>since</w:t>
      </w:r>
      <w:proofErr w:type="spellEnd"/>
      <w:r>
        <w:rPr>
          <w:rFonts w:ascii="Georgia" w:hAnsi="Georgia"/>
        </w:rPr>
        <w:t xml:space="preserve"> the 1980s » (p. 129-165), in Hubert Bonin &amp;</w:t>
      </w:r>
      <w:r>
        <w:rPr>
          <w:rFonts w:ascii="Georgia" w:hAnsi="Georgia"/>
        </w:rPr>
        <w:t xml:space="preserve"> Roger Nougaret, dir.),</w:t>
      </w:r>
      <w:r w:rsidRPr="00C92FC6">
        <w:rPr>
          <w:rFonts w:ascii="Georgia" w:hAnsi="Georgia" w:cs="Arial"/>
          <w:i/>
        </w:rPr>
        <w:t xml:space="preserve"> </w:t>
      </w:r>
      <w:r>
        <w:rPr>
          <w:rFonts w:ascii="Georgia" w:hAnsi="Georgia" w:cs="Arial"/>
          <w:i/>
        </w:rPr>
        <w:t xml:space="preserve">The </w:t>
      </w:r>
      <w:proofErr w:type="spellStart"/>
      <w:r>
        <w:rPr>
          <w:rFonts w:ascii="Georgia" w:hAnsi="Georgia" w:cs="Arial"/>
          <w:i/>
        </w:rPr>
        <w:t>Legacy</w:t>
      </w:r>
      <w:proofErr w:type="spellEnd"/>
      <w:r>
        <w:rPr>
          <w:rFonts w:ascii="Georgia" w:hAnsi="Georgia" w:cs="Arial"/>
          <w:i/>
        </w:rPr>
        <w:t xml:space="preserve"> of Haute Banque, </w:t>
      </w:r>
      <w:proofErr w:type="spellStart"/>
      <w:r>
        <w:rPr>
          <w:rFonts w:ascii="Georgia" w:hAnsi="Georgia" w:cs="Arial"/>
          <w:i/>
        </w:rPr>
        <w:t>from</w:t>
      </w:r>
      <w:proofErr w:type="spellEnd"/>
      <w:r>
        <w:rPr>
          <w:rFonts w:ascii="Georgia" w:hAnsi="Georgia" w:cs="Arial"/>
          <w:i/>
        </w:rPr>
        <w:t xml:space="preserve"> 19th to 21st century, </w:t>
      </w:r>
      <w:r w:rsidRPr="00FB29D8">
        <w:rPr>
          <w:rFonts w:ascii="Georgia" w:hAnsi="Georgia" w:cs="Arial"/>
          <w:iCs/>
        </w:rPr>
        <w:t>Bruxelles, Peter Lang, 2022</w:t>
      </w:r>
    </w:p>
    <w:p w14:paraId="0897A751" w14:textId="77777777" w:rsidR="00773D1D" w:rsidRDefault="00773D1D" w:rsidP="00126439">
      <w:pPr>
        <w:pStyle w:val="Listepuces2"/>
        <w:rPr>
          <w:sz w:val="22"/>
          <w:szCs w:val="22"/>
        </w:rPr>
      </w:pPr>
    </w:p>
    <w:p w14:paraId="4DD065C3" w14:textId="587E83EB" w:rsidR="00426300" w:rsidRPr="00126439" w:rsidRDefault="00426300" w:rsidP="00126439">
      <w:pPr>
        <w:pStyle w:val="Listepuces2"/>
        <w:rPr>
          <w:sz w:val="22"/>
          <w:szCs w:val="22"/>
        </w:rPr>
      </w:pPr>
      <w:r w:rsidRPr="00126439">
        <w:rPr>
          <w:sz w:val="22"/>
          <w:szCs w:val="22"/>
        </w:rPr>
        <w:t>Articles</w:t>
      </w:r>
    </w:p>
    <w:p w14:paraId="675B377F" w14:textId="740EBACE" w:rsidR="006943B3" w:rsidRDefault="006943B3" w:rsidP="006943B3">
      <w:pPr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« Chasse à courre en Pays de Buch avec les équipages de Cruse, </w:t>
      </w:r>
      <w:r w:rsidRPr="00D32E8F">
        <w:rPr>
          <w:rFonts w:ascii="Georgia" w:hAnsi="Georgia"/>
          <w:i/>
          <w:iCs/>
        </w:rPr>
        <w:t>Bulletin de la Société historique et archéologique d’Arcachon et du Pays de Buch</w:t>
      </w:r>
      <w:r>
        <w:rPr>
          <w:rFonts w:ascii="Georgia" w:hAnsi="Georgia"/>
        </w:rPr>
        <w:t>, mai 2022, n° 192, p. 70-80.</w:t>
      </w:r>
    </w:p>
    <w:p w14:paraId="71B8B882" w14:textId="77777777" w:rsidR="006943B3" w:rsidRDefault="006943B3" w:rsidP="00126439">
      <w:pPr>
        <w:pStyle w:val="Listepuces2"/>
        <w:rPr>
          <w:sz w:val="22"/>
          <w:szCs w:val="22"/>
        </w:rPr>
      </w:pPr>
    </w:p>
    <w:p w14:paraId="35FEC378" w14:textId="77777777" w:rsidR="006943B3" w:rsidRDefault="006943B3" w:rsidP="00126439">
      <w:pPr>
        <w:pStyle w:val="Listepuces2"/>
        <w:rPr>
          <w:sz w:val="22"/>
          <w:szCs w:val="22"/>
        </w:rPr>
      </w:pPr>
    </w:p>
    <w:p w14:paraId="067B7880" w14:textId="568B3861" w:rsidR="00626606" w:rsidRPr="00126439" w:rsidRDefault="00773D1D" w:rsidP="00126439">
      <w:pPr>
        <w:pStyle w:val="Listepuces2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626606" w:rsidRPr="00126439">
        <w:rPr>
          <w:sz w:val="22"/>
          <w:szCs w:val="22"/>
        </w:rPr>
        <w:lastRenderedPageBreak/>
        <w:t>Articles numériques</w:t>
      </w:r>
    </w:p>
    <w:p w14:paraId="49CA806C" w14:textId="77777777" w:rsidR="00213A67" w:rsidRPr="00126439" w:rsidRDefault="00994CCA" w:rsidP="00126439">
      <w:pPr>
        <w:pStyle w:val="Titre1"/>
        <w:numPr>
          <w:ilvl w:val="3"/>
          <w:numId w:val="5"/>
        </w:numPr>
        <w:shd w:val="clear" w:color="auto" w:fill="FFFFFF"/>
        <w:spacing w:before="0" w:line="240" w:lineRule="auto"/>
        <w:ind w:left="0" w:firstLine="0"/>
        <w:textAlignment w:val="baseline"/>
        <w:rPr>
          <w:rFonts w:ascii="Georgia" w:hAnsi="Georgia"/>
          <w:b w:val="0"/>
          <w:color w:val="auto"/>
          <w:sz w:val="22"/>
          <w:szCs w:val="22"/>
        </w:rPr>
      </w:pPr>
      <w:r w:rsidRPr="00126439">
        <w:rPr>
          <w:rFonts w:ascii="Georgia" w:hAnsi="Georgia" w:cs="Arial"/>
          <w:b w:val="0"/>
          <w:color w:val="auto"/>
          <w:sz w:val="22"/>
          <w:szCs w:val="22"/>
        </w:rPr>
        <w:t>« </w:t>
      </w:r>
      <w:r w:rsidR="00A14643" w:rsidRPr="00126439">
        <w:rPr>
          <w:rFonts w:ascii="Georgia" w:hAnsi="Georgia"/>
          <w:b w:val="0"/>
          <w:color w:val="auto"/>
          <w:sz w:val="22"/>
          <w:szCs w:val="22"/>
        </w:rPr>
        <w:t xml:space="preserve">Il y a 150 ans, la Commune de Bordeaux en écho à celle de Paris », </w:t>
      </w:r>
      <w:proofErr w:type="spellStart"/>
      <w:r w:rsidR="00A14643" w:rsidRPr="00126439">
        <w:rPr>
          <w:rFonts w:ascii="Georgia" w:hAnsi="Georgia"/>
          <w:b w:val="0"/>
          <w:color w:val="auto"/>
          <w:sz w:val="22"/>
          <w:szCs w:val="22"/>
        </w:rPr>
        <w:t xml:space="preserve">Sud </w:t>
      </w:r>
      <w:r w:rsidR="00A14643" w:rsidRPr="00126439">
        <w:rPr>
          <w:rFonts w:ascii="Georgia" w:hAnsi="Georgia"/>
          <w:b w:val="0"/>
          <w:i/>
          <w:color w:val="auto"/>
          <w:sz w:val="22"/>
          <w:szCs w:val="22"/>
        </w:rPr>
        <w:t>Ouest</w:t>
      </w:r>
      <w:proofErr w:type="spellEnd"/>
      <w:r w:rsidR="00A14643" w:rsidRPr="00126439">
        <w:rPr>
          <w:rFonts w:ascii="Georgia" w:hAnsi="Georgia"/>
          <w:b w:val="0"/>
          <w:i/>
          <w:color w:val="auto"/>
          <w:sz w:val="22"/>
          <w:szCs w:val="22"/>
        </w:rPr>
        <w:t>-Cercle des idées</w:t>
      </w:r>
      <w:r w:rsidR="00A14643" w:rsidRPr="00126439">
        <w:rPr>
          <w:rFonts w:ascii="Georgia" w:hAnsi="Georgia"/>
          <w:b w:val="0"/>
          <w:color w:val="auto"/>
          <w:sz w:val="22"/>
          <w:szCs w:val="22"/>
        </w:rPr>
        <w:t>, 14 avril 2021 [https://www.sudouest.fr/gironde/bordeaux/il-y-a-150-ans-la-commune-de-bordeaux-en-echo-a-celle-de-paris-2136794.php]</w:t>
      </w:r>
      <w:r w:rsidR="00213A67" w:rsidRPr="00126439">
        <w:rPr>
          <w:rFonts w:ascii="Georgia" w:hAnsi="Georgia"/>
          <w:b w:val="0"/>
          <w:color w:val="auto"/>
          <w:sz w:val="22"/>
          <w:szCs w:val="22"/>
        </w:rPr>
        <w:t>.</w:t>
      </w:r>
    </w:p>
    <w:p w14:paraId="78AD895C" w14:textId="77777777" w:rsidR="00126439" w:rsidRPr="00126439" w:rsidRDefault="00213A67" w:rsidP="00126439">
      <w:pPr>
        <w:pStyle w:val="Titre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 w:line="240" w:lineRule="auto"/>
        <w:ind w:left="0" w:firstLine="0"/>
        <w:textAlignment w:val="baseline"/>
        <w:rPr>
          <w:rFonts w:ascii="Georgia" w:hAnsi="Georgia"/>
          <w:b w:val="0"/>
          <w:color w:val="auto"/>
          <w:sz w:val="22"/>
          <w:szCs w:val="22"/>
        </w:rPr>
      </w:pPr>
      <w:r w:rsidRPr="00126439">
        <w:rPr>
          <w:rFonts w:ascii="Georgia" w:hAnsi="Georgia" w:cs="Arial"/>
          <w:b w:val="0"/>
          <w:color w:val="auto"/>
          <w:sz w:val="22"/>
          <w:szCs w:val="22"/>
        </w:rPr>
        <w:t xml:space="preserve">« Le charbon, de la glorification à la diabolisation », site du mensuel </w:t>
      </w:r>
      <w:r w:rsidRPr="00126439">
        <w:rPr>
          <w:rFonts w:ascii="Georgia" w:hAnsi="Georgia" w:cs="Arial"/>
          <w:b w:val="0"/>
          <w:i/>
          <w:color w:val="auto"/>
          <w:sz w:val="22"/>
          <w:szCs w:val="22"/>
        </w:rPr>
        <w:t>L’Histoire</w:t>
      </w:r>
      <w:r w:rsidRPr="00126439">
        <w:rPr>
          <w:rFonts w:ascii="Georgia" w:hAnsi="Georgia" w:cs="Arial"/>
          <w:b w:val="0"/>
          <w:color w:val="auto"/>
          <w:sz w:val="22"/>
          <w:szCs w:val="22"/>
        </w:rPr>
        <w:t>, juin 2021 [</w:t>
      </w:r>
      <w:hyperlink r:id="rId7" w:history="1">
        <w:r w:rsidRPr="00126439">
          <w:rPr>
            <w:rStyle w:val="Lienhypertexte"/>
            <w:rFonts w:ascii="Georgia" w:hAnsi="Georgia"/>
            <w:b w:val="0"/>
            <w:color w:val="auto"/>
            <w:sz w:val="22"/>
            <w:szCs w:val="22"/>
          </w:rPr>
          <w:t>Le charbon, de la glorification à la diabolisation | lhistoire.fr</w:t>
        </w:r>
      </w:hyperlink>
      <w:r w:rsidRPr="00126439">
        <w:rPr>
          <w:rFonts w:ascii="Georgia" w:hAnsi="Georgia"/>
          <w:b w:val="0"/>
          <w:color w:val="auto"/>
          <w:sz w:val="22"/>
          <w:szCs w:val="22"/>
        </w:rPr>
        <w:t>].</w:t>
      </w:r>
    </w:p>
    <w:p w14:paraId="347B930C" w14:textId="77777777" w:rsidR="00126439" w:rsidRPr="00126439" w:rsidRDefault="00126439" w:rsidP="00126439">
      <w:pPr>
        <w:pStyle w:val="Titre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 w:line="240" w:lineRule="auto"/>
        <w:ind w:left="0" w:firstLine="0"/>
        <w:textAlignment w:val="baseline"/>
        <w:rPr>
          <w:sz w:val="22"/>
          <w:szCs w:val="22"/>
        </w:rPr>
      </w:pPr>
      <w:r w:rsidRPr="00126439">
        <w:rPr>
          <w:rFonts w:ascii="Georgia" w:hAnsi="Georgia"/>
          <w:b w:val="0"/>
          <w:color w:val="auto"/>
          <w:sz w:val="22"/>
          <w:szCs w:val="22"/>
        </w:rPr>
        <w:t xml:space="preserve">Crise des sous-marins : « L’imbrication du privé et du public est intensifiée par la recherche de la réduction des coûts de production », </w:t>
      </w:r>
      <w:r w:rsidRPr="00126439">
        <w:rPr>
          <w:rFonts w:ascii="Georgia" w:hAnsi="Georgia"/>
          <w:b w:val="0"/>
          <w:i/>
          <w:color w:val="auto"/>
          <w:sz w:val="22"/>
          <w:szCs w:val="22"/>
        </w:rPr>
        <w:t>Le Monde numérique</w:t>
      </w:r>
      <w:r w:rsidRPr="00126439">
        <w:rPr>
          <w:rFonts w:ascii="Georgia" w:hAnsi="Georgia"/>
          <w:b w:val="0"/>
          <w:color w:val="auto"/>
          <w:sz w:val="22"/>
          <w:szCs w:val="22"/>
        </w:rPr>
        <w:t>, 8 octobre 2021.</w:t>
      </w:r>
    </w:p>
    <w:sectPr w:rsidR="00126439" w:rsidRPr="00126439" w:rsidSect="006F5E8F">
      <w:headerReference w:type="even" r:id="rId8"/>
      <w:headerReference w:type="default" r:id="rId9"/>
      <w:type w:val="oddPage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BAAEE" w14:textId="77777777" w:rsidR="0034191A" w:rsidRDefault="0034191A" w:rsidP="001473CD">
      <w:pPr>
        <w:spacing w:after="0" w:line="240" w:lineRule="auto"/>
      </w:pPr>
      <w:r>
        <w:separator/>
      </w:r>
    </w:p>
  </w:endnote>
  <w:endnote w:type="continuationSeparator" w:id="0">
    <w:p w14:paraId="551A17BA" w14:textId="77777777" w:rsidR="0034191A" w:rsidRDefault="0034191A" w:rsidP="0014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E48D" w14:textId="77777777" w:rsidR="0034191A" w:rsidRDefault="0034191A" w:rsidP="001473CD">
      <w:pPr>
        <w:spacing w:after="0" w:line="240" w:lineRule="auto"/>
      </w:pPr>
      <w:r>
        <w:separator/>
      </w:r>
    </w:p>
  </w:footnote>
  <w:footnote w:type="continuationSeparator" w:id="0">
    <w:p w14:paraId="7920FDAE" w14:textId="77777777" w:rsidR="0034191A" w:rsidRDefault="0034191A" w:rsidP="0014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B861" w14:textId="77777777" w:rsidR="00B0280B" w:rsidRDefault="00B0280B" w:rsidP="009661B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1DE26ED" w14:textId="77777777" w:rsidR="00B0280B" w:rsidRDefault="00B0280B" w:rsidP="00BA292B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6EFE" w14:textId="77777777" w:rsidR="00B0280B" w:rsidRPr="00BA292B" w:rsidRDefault="00B0280B" w:rsidP="009661B4">
    <w:pPr>
      <w:pStyle w:val="En-tte"/>
      <w:framePr w:wrap="around" w:vAnchor="text" w:hAnchor="margin" w:xAlign="right" w:y="1"/>
      <w:rPr>
        <w:rStyle w:val="Numrodepage"/>
        <w:rFonts w:ascii="Georgia" w:hAnsi="Georgia"/>
        <w:sz w:val="18"/>
        <w:szCs w:val="18"/>
      </w:rPr>
    </w:pPr>
    <w:r w:rsidRPr="00BA292B">
      <w:rPr>
        <w:rStyle w:val="Numrodepage"/>
        <w:rFonts w:ascii="Georgia" w:hAnsi="Georgia"/>
        <w:sz w:val="18"/>
        <w:szCs w:val="18"/>
      </w:rPr>
      <w:fldChar w:fldCharType="begin"/>
    </w:r>
    <w:r w:rsidRPr="00BA292B">
      <w:rPr>
        <w:rStyle w:val="Numrodepage"/>
        <w:rFonts w:ascii="Georgia" w:hAnsi="Georgia"/>
        <w:sz w:val="18"/>
        <w:szCs w:val="18"/>
      </w:rPr>
      <w:instrText xml:space="preserve">PAGE  </w:instrText>
    </w:r>
    <w:r w:rsidRPr="00BA292B">
      <w:rPr>
        <w:rStyle w:val="Numrodepage"/>
        <w:rFonts w:ascii="Georgia" w:hAnsi="Georgia"/>
        <w:sz w:val="18"/>
        <w:szCs w:val="18"/>
      </w:rPr>
      <w:fldChar w:fldCharType="separate"/>
    </w:r>
    <w:r w:rsidR="00126439">
      <w:rPr>
        <w:rStyle w:val="Numrodepage"/>
        <w:rFonts w:ascii="Georgia" w:hAnsi="Georgia"/>
        <w:noProof/>
        <w:sz w:val="18"/>
        <w:szCs w:val="18"/>
      </w:rPr>
      <w:t>2</w:t>
    </w:r>
    <w:r w:rsidRPr="00BA292B">
      <w:rPr>
        <w:rStyle w:val="Numrodepage"/>
        <w:rFonts w:ascii="Georgia" w:hAnsi="Georgia"/>
        <w:sz w:val="18"/>
        <w:szCs w:val="18"/>
      </w:rPr>
      <w:fldChar w:fldCharType="end"/>
    </w:r>
  </w:p>
  <w:p w14:paraId="77F7BC72" w14:textId="77777777" w:rsidR="00B0280B" w:rsidRDefault="00B0280B" w:rsidP="00BA292B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F325F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A8CC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63A98"/>
    <w:multiLevelType w:val="hybridMultilevel"/>
    <w:tmpl w:val="4A8C30F6"/>
    <w:lvl w:ilvl="0" w:tplc="CF269B3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96912"/>
    <w:multiLevelType w:val="hybridMultilevel"/>
    <w:tmpl w:val="9E662E9A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91F34"/>
    <w:multiLevelType w:val="hybridMultilevel"/>
    <w:tmpl w:val="FFAE7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843A4"/>
    <w:multiLevelType w:val="hybridMultilevel"/>
    <w:tmpl w:val="B1EC5E12"/>
    <w:lvl w:ilvl="0" w:tplc="2B501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64337A"/>
    <w:multiLevelType w:val="hybridMultilevel"/>
    <w:tmpl w:val="328A5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961874">
    <w:abstractNumId w:val="0"/>
  </w:num>
  <w:num w:numId="2" w16cid:durableId="531189308">
    <w:abstractNumId w:val="1"/>
  </w:num>
  <w:num w:numId="3" w16cid:durableId="722213671">
    <w:abstractNumId w:val="0"/>
  </w:num>
  <w:num w:numId="4" w16cid:durableId="1883705756">
    <w:abstractNumId w:val="3"/>
  </w:num>
  <w:num w:numId="5" w16cid:durableId="430054604">
    <w:abstractNumId w:val="4"/>
  </w:num>
  <w:num w:numId="6" w16cid:durableId="437525875">
    <w:abstractNumId w:val="2"/>
  </w:num>
  <w:num w:numId="7" w16cid:durableId="9288056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0129053">
    <w:abstractNumId w:val="2"/>
  </w:num>
  <w:num w:numId="9" w16cid:durableId="1204826701">
    <w:abstractNumId w:val="6"/>
  </w:num>
  <w:num w:numId="10" w16cid:durableId="1010747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691673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4540"/>
    <w:rsid w:val="00002BC7"/>
    <w:rsid w:val="000110C5"/>
    <w:rsid w:val="000155E1"/>
    <w:rsid w:val="00016F71"/>
    <w:rsid w:val="00041E42"/>
    <w:rsid w:val="0004508A"/>
    <w:rsid w:val="00047DE7"/>
    <w:rsid w:val="0006127A"/>
    <w:rsid w:val="00065E7F"/>
    <w:rsid w:val="00072CD1"/>
    <w:rsid w:val="00073819"/>
    <w:rsid w:val="00090ED1"/>
    <w:rsid w:val="00094344"/>
    <w:rsid w:val="00094AE5"/>
    <w:rsid w:val="000A6989"/>
    <w:rsid w:val="000B0E33"/>
    <w:rsid w:val="000B4BF9"/>
    <w:rsid w:val="000C41E6"/>
    <w:rsid w:val="000C6D5D"/>
    <w:rsid w:val="000D0033"/>
    <w:rsid w:val="000D658F"/>
    <w:rsid w:val="000D7F2B"/>
    <w:rsid w:val="000E7DF5"/>
    <w:rsid w:val="000F2445"/>
    <w:rsid w:val="000F494B"/>
    <w:rsid w:val="000F5BD4"/>
    <w:rsid w:val="00105A6C"/>
    <w:rsid w:val="00110982"/>
    <w:rsid w:val="00111D59"/>
    <w:rsid w:val="001222D2"/>
    <w:rsid w:val="00126439"/>
    <w:rsid w:val="00131A51"/>
    <w:rsid w:val="00142A51"/>
    <w:rsid w:val="0014356B"/>
    <w:rsid w:val="00143D81"/>
    <w:rsid w:val="001473CD"/>
    <w:rsid w:val="00153856"/>
    <w:rsid w:val="001608E9"/>
    <w:rsid w:val="00162019"/>
    <w:rsid w:val="0017192C"/>
    <w:rsid w:val="001915EF"/>
    <w:rsid w:val="001A39AD"/>
    <w:rsid w:val="001A4F09"/>
    <w:rsid w:val="001A6C31"/>
    <w:rsid w:val="001A73F7"/>
    <w:rsid w:val="001B686C"/>
    <w:rsid w:val="001B7220"/>
    <w:rsid w:val="001D2A19"/>
    <w:rsid w:val="001D48B5"/>
    <w:rsid w:val="001E7163"/>
    <w:rsid w:val="001F356D"/>
    <w:rsid w:val="00200AE5"/>
    <w:rsid w:val="00213A67"/>
    <w:rsid w:val="00217721"/>
    <w:rsid w:val="00217892"/>
    <w:rsid w:val="00222FAB"/>
    <w:rsid w:val="00241F95"/>
    <w:rsid w:val="002453FC"/>
    <w:rsid w:val="00246F91"/>
    <w:rsid w:val="00247BAA"/>
    <w:rsid w:val="0025189F"/>
    <w:rsid w:val="0025245B"/>
    <w:rsid w:val="0025435B"/>
    <w:rsid w:val="00277B7C"/>
    <w:rsid w:val="00280F5D"/>
    <w:rsid w:val="002839DD"/>
    <w:rsid w:val="00286554"/>
    <w:rsid w:val="00287185"/>
    <w:rsid w:val="0029053C"/>
    <w:rsid w:val="00290E04"/>
    <w:rsid w:val="00294AFE"/>
    <w:rsid w:val="002B017D"/>
    <w:rsid w:val="002B71E8"/>
    <w:rsid w:val="002C5156"/>
    <w:rsid w:val="002C5309"/>
    <w:rsid w:val="002C5ACA"/>
    <w:rsid w:val="002D116D"/>
    <w:rsid w:val="002E0917"/>
    <w:rsid w:val="002E40AF"/>
    <w:rsid w:val="002E5C8F"/>
    <w:rsid w:val="002E783C"/>
    <w:rsid w:val="00300859"/>
    <w:rsid w:val="00301D23"/>
    <w:rsid w:val="00301DC0"/>
    <w:rsid w:val="003122EC"/>
    <w:rsid w:val="003155A5"/>
    <w:rsid w:val="00315C61"/>
    <w:rsid w:val="003163C5"/>
    <w:rsid w:val="00317C4E"/>
    <w:rsid w:val="00321C04"/>
    <w:rsid w:val="00322690"/>
    <w:rsid w:val="00326262"/>
    <w:rsid w:val="0033229B"/>
    <w:rsid w:val="003343A6"/>
    <w:rsid w:val="0033656A"/>
    <w:rsid w:val="0034191A"/>
    <w:rsid w:val="00351D77"/>
    <w:rsid w:val="00353270"/>
    <w:rsid w:val="0036740B"/>
    <w:rsid w:val="003710EC"/>
    <w:rsid w:val="00371C08"/>
    <w:rsid w:val="00380626"/>
    <w:rsid w:val="0038738F"/>
    <w:rsid w:val="003A2365"/>
    <w:rsid w:val="003A34EE"/>
    <w:rsid w:val="003A399F"/>
    <w:rsid w:val="003A4F2C"/>
    <w:rsid w:val="003A7FC5"/>
    <w:rsid w:val="003D3FA9"/>
    <w:rsid w:val="003E1325"/>
    <w:rsid w:val="003E3D67"/>
    <w:rsid w:val="003E570F"/>
    <w:rsid w:val="003F10FA"/>
    <w:rsid w:val="003F224D"/>
    <w:rsid w:val="003F2C5D"/>
    <w:rsid w:val="0040114A"/>
    <w:rsid w:val="0040235E"/>
    <w:rsid w:val="0041077B"/>
    <w:rsid w:val="004113CF"/>
    <w:rsid w:val="00411BD5"/>
    <w:rsid w:val="004174C4"/>
    <w:rsid w:val="004220A7"/>
    <w:rsid w:val="00426300"/>
    <w:rsid w:val="00430323"/>
    <w:rsid w:val="004365CA"/>
    <w:rsid w:val="00442569"/>
    <w:rsid w:val="00461BDE"/>
    <w:rsid w:val="004624B0"/>
    <w:rsid w:val="0046594F"/>
    <w:rsid w:val="00485513"/>
    <w:rsid w:val="004879EC"/>
    <w:rsid w:val="004926FD"/>
    <w:rsid w:val="004A0836"/>
    <w:rsid w:val="004B0E9E"/>
    <w:rsid w:val="004B51E4"/>
    <w:rsid w:val="004B6B79"/>
    <w:rsid w:val="004B7955"/>
    <w:rsid w:val="004C087E"/>
    <w:rsid w:val="004D3D22"/>
    <w:rsid w:val="004F5D0D"/>
    <w:rsid w:val="005016CE"/>
    <w:rsid w:val="0050366D"/>
    <w:rsid w:val="00527352"/>
    <w:rsid w:val="00535636"/>
    <w:rsid w:val="005362A0"/>
    <w:rsid w:val="00547E69"/>
    <w:rsid w:val="0055239F"/>
    <w:rsid w:val="005626E9"/>
    <w:rsid w:val="00567B2D"/>
    <w:rsid w:val="00573970"/>
    <w:rsid w:val="005760D5"/>
    <w:rsid w:val="005776A0"/>
    <w:rsid w:val="00580505"/>
    <w:rsid w:val="00583544"/>
    <w:rsid w:val="0059456F"/>
    <w:rsid w:val="0059709A"/>
    <w:rsid w:val="005A1451"/>
    <w:rsid w:val="005A4F12"/>
    <w:rsid w:val="005B0F06"/>
    <w:rsid w:val="005B6EA4"/>
    <w:rsid w:val="005B7E41"/>
    <w:rsid w:val="005D4FA3"/>
    <w:rsid w:val="005D4FFE"/>
    <w:rsid w:val="005F09ED"/>
    <w:rsid w:val="005F1297"/>
    <w:rsid w:val="006018EF"/>
    <w:rsid w:val="00620B00"/>
    <w:rsid w:val="00626606"/>
    <w:rsid w:val="006307B8"/>
    <w:rsid w:val="0063182F"/>
    <w:rsid w:val="006323EA"/>
    <w:rsid w:val="0064468D"/>
    <w:rsid w:val="00653FDD"/>
    <w:rsid w:val="00657760"/>
    <w:rsid w:val="00661FDE"/>
    <w:rsid w:val="006870ED"/>
    <w:rsid w:val="006928BD"/>
    <w:rsid w:val="006943B3"/>
    <w:rsid w:val="006965E8"/>
    <w:rsid w:val="00696866"/>
    <w:rsid w:val="006969B1"/>
    <w:rsid w:val="006B5B69"/>
    <w:rsid w:val="006B7D9A"/>
    <w:rsid w:val="006D2CC0"/>
    <w:rsid w:val="006D53D0"/>
    <w:rsid w:val="006D67C6"/>
    <w:rsid w:val="006E31D4"/>
    <w:rsid w:val="006E3C4B"/>
    <w:rsid w:val="006F41C1"/>
    <w:rsid w:val="006F5E8F"/>
    <w:rsid w:val="00702CE8"/>
    <w:rsid w:val="00706253"/>
    <w:rsid w:val="00710B9F"/>
    <w:rsid w:val="0071467E"/>
    <w:rsid w:val="00722846"/>
    <w:rsid w:val="00731091"/>
    <w:rsid w:val="00733250"/>
    <w:rsid w:val="00737280"/>
    <w:rsid w:val="007416C9"/>
    <w:rsid w:val="00745C3E"/>
    <w:rsid w:val="00756D41"/>
    <w:rsid w:val="00765404"/>
    <w:rsid w:val="00773D1D"/>
    <w:rsid w:val="00774AE7"/>
    <w:rsid w:val="00780AE2"/>
    <w:rsid w:val="00780BFD"/>
    <w:rsid w:val="007840E6"/>
    <w:rsid w:val="00790CD9"/>
    <w:rsid w:val="00790E49"/>
    <w:rsid w:val="00796689"/>
    <w:rsid w:val="007A1E1B"/>
    <w:rsid w:val="007A45C8"/>
    <w:rsid w:val="007B2C7D"/>
    <w:rsid w:val="007C7BD1"/>
    <w:rsid w:val="007D2CAD"/>
    <w:rsid w:val="007D5962"/>
    <w:rsid w:val="007D6726"/>
    <w:rsid w:val="007E7B69"/>
    <w:rsid w:val="007F05EF"/>
    <w:rsid w:val="007F199D"/>
    <w:rsid w:val="007F4164"/>
    <w:rsid w:val="00805F87"/>
    <w:rsid w:val="008107BF"/>
    <w:rsid w:val="00812512"/>
    <w:rsid w:val="008148BE"/>
    <w:rsid w:val="008268D3"/>
    <w:rsid w:val="008343C8"/>
    <w:rsid w:val="00834401"/>
    <w:rsid w:val="00837E44"/>
    <w:rsid w:val="008524B2"/>
    <w:rsid w:val="008645DA"/>
    <w:rsid w:val="008654E0"/>
    <w:rsid w:val="00867382"/>
    <w:rsid w:val="00867BBD"/>
    <w:rsid w:val="00881135"/>
    <w:rsid w:val="00891752"/>
    <w:rsid w:val="008A0C29"/>
    <w:rsid w:val="008A146E"/>
    <w:rsid w:val="008B3A55"/>
    <w:rsid w:val="008B3B17"/>
    <w:rsid w:val="008B6F0D"/>
    <w:rsid w:val="008C22E9"/>
    <w:rsid w:val="008D0491"/>
    <w:rsid w:val="008D73A1"/>
    <w:rsid w:val="008E7157"/>
    <w:rsid w:val="008F750A"/>
    <w:rsid w:val="00910F60"/>
    <w:rsid w:val="00914430"/>
    <w:rsid w:val="009264EA"/>
    <w:rsid w:val="00931F63"/>
    <w:rsid w:val="00946F5F"/>
    <w:rsid w:val="00956ECB"/>
    <w:rsid w:val="009661B4"/>
    <w:rsid w:val="00974409"/>
    <w:rsid w:val="00974E32"/>
    <w:rsid w:val="009816C2"/>
    <w:rsid w:val="00984D2A"/>
    <w:rsid w:val="009852A0"/>
    <w:rsid w:val="00985927"/>
    <w:rsid w:val="00986D1C"/>
    <w:rsid w:val="00991BAD"/>
    <w:rsid w:val="00994CCA"/>
    <w:rsid w:val="009B7A5C"/>
    <w:rsid w:val="009C6568"/>
    <w:rsid w:val="009E29D3"/>
    <w:rsid w:val="009F364E"/>
    <w:rsid w:val="00A07EFB"/>
    <w:rsid w:val="00A14643"/>
    <w:rsid w:val="00A22227"/>
    <w:rsid w:val="00A22BB3"/>
    <w:rsid w:val="00A270C9"/>
    <w:rsid w:val="00A316B4"/>
    <w:rsid w:val="00A31D3D"/>
    <w:rsid w:val="00A41A4D"/>
    <w:rsid w:val="00A5025F"/>
    <w:rsid w:val="00A55A65"/>
    <w:rsid w:val="00A64D82"/>
    <w:rsid w:val="00A667EC"/>
    <w:rsid w:val="00A824F5"/>
    <w:rsid w:val="00A8274A"/>
    <w:rsid w:val="00A86593"/>
    <w:rsid w:val="00A8776C"/>
    <w:rsid w:val="00A92FC3"/>
    <w:rsid w:val="00A93E3E"/>
    <w:rsid w:val="00A96D87"/>
    <w:rsid w:val="00AA0CE6"/>
    <w:rsid w:val="00AA1747"/>
    <w:rsid w:val="00AA2E3C"/>
    <w:rsid w:val="00AB327A"/>
    <w:rsid w:val="00AB7016"/>
    <w:rsid w:val="00AC0228"/>
    <w:rsid w:val="00AC356C"/>
    <w:rsid w:val="00AD61A2"/>
    <w:rsid w:val="00AD6E9D"/>
    <w:rsid w:val="00AF1546"/>
    <w:rsid w:val="00AF1A30"/>
    <w:rsid w:val="00AF1AC1"/>
    <w:rsid w:val="00AF6096"/>
    <w:rsid w:val="00B0280B"/>
    <w:rsid w:val="00B0321E"/>
    <w:rsid w:val="00B0348A"/>
    <w:rsid w:val="00B0551C"/>
    <w:rsid w:val="00B0581B"/>
    <w:rsid w:val="00B06DA4"/>
    <w:rsid w:val="00B106AD"/>
    <w:rsid w:val="00B16186"/>
    <w:rsid w:val="00B35E3A"/>
    <w:rsid w:val="00B36CB7"/>
    <w:rsid w:val="00B374F2"/>
    <w:rsid w:val="00B438BD"/>
    <w:rsid w:val="00B622E9"/>
    <w:rsid w:val="00B6676C"/>
    <w:rsid w:val="00B72523"/>
    <w:rsid w:val="00B72B4B"/>
    <w:rsid w:val="00B74C9D"/>
    <w:rsid w:val="00B76004"/>
    <w:rsid w:val="00B8431A"/>
    <w:rsid w:val="00B87695"/>
    <w:rsid w:val="00B92BF8"/>
    <w:rsid w:val="00B978CA"/>
    <w:rsid w:val="00BA19DA"/>
    <w:rsid w:val="00BA292B"/>
    <w:rsid w:val="00BA2E57"/>
    <w:rsid w:val="00BC1B41"/>
    <w:rsid w:val="00BC399A"/>
    <w:rsid w:val="00BC64EB"/>
    <w:rsid w:val="00BD1E31"/>
    <w:rsid w:val="00BE16B6"/>
    <w:rsid w:val="00BE3331"/>
    <w:rsid w:val="00BE37F7"/>
    <w:rsid w:val="00BE52E6"/>
    <w:rsid w:val="00BE733B"/>
    <w:rsid w:val="00BF1FA2"/>
    <w:rsid w:val="00C1154D"/>
    <w:rsid w:val="00C260F6"/>
    <w:rsid w:val="00C333A4"/>
    <w:rsid w:val="00C44822"/>
    <w:rsid w:val="00C523C3"/>
    <w:rsid w:val="00C524B5"/>
    <w:rsid w:val="00C52B07"/>
    <w:rsid w:val="00C60BE2"/>
    <w:rsid w:val="00C7176C"/>
    <w:rsid w:val="00C74540"/>
    <w:rsid w:val="00C76810"/>
    <w:rsid w:val="00C849CE"/>
    <w:rsid w:val="00C92A5A"/>
    <w:rsid w:val="00C92FC6"/>
    <w:rsid w:val="00C9591F"/>
    <w:rsid w:val="00CA0C4A"/>
    <w:rsid w:val="00CA0EC1"/>
    <w:rsid w:val="00CB46DE"/>
    <w:rsid w:val="00CB5945"/>
    <w:rsid w:val="00CC0EFD"/>
    <w:rsid w:val="00CC1028"/>
    <w:rsid w:val="00CC3C5D"/>
    <w:rsid w:val="00CD39E2"/>
    <w:rsid w:val="00CD62D4"/>
    <w:rsid w:val="00CD6904"/>
    <w:rsid w:val="00CE1EFA"/>
    <w:rsid w:val="00CF0CE2"/>
    <w:rsid w:val="00CF3F13"/>
    <w:rsid w:val="00CF7EAD"/>
    <w:rsid w:val="00D00742"/>
    <w:rsid w:val="00D038DA"/>
    <w:rsid w:val="00D12C84"/>
    <w:rsid w:val="00D16802"/>
    <w:rsid w:val="00D176AE"/>
    <w:rsid w:val="00D20016"/>
    <w:rsid w:val="00D27D73"/>
    <w:rsid w:val="00D32E8F"/>
    <w:rsid w:val="00D407E0"/>
    <w:rsid w:val="00D51D69"/>
    <w:rsid w:val="00D615FF"/>
    <w:rsid w:val="00D66BD1"/>
    <w:rsid w:val="00D66DF7"/>
    <w:rsid w:val="00D67F82"/>
    <w:rsid w:val="00D7419D"/>
    <w:rsid w:val="00D80F56"/>
    <w:rsid w:val="00D8706C"/>
    <w:rsid w:val="00D92DBB"/>
    <w:rsid w:val="00D94719"/>
    <w:rsid w:val="00DA17EE"/>
    <w:rsid w:val="00DA53F7"/>
    <w:rsid w:val="00DA65C0"/>
    <w:rsid w:val="00DB032A"/>
    <w:rsid w:val="00DB1935"/>
    <w:rsid w:val="00DB23C4"/>
    <w:rsid w:val="00DC2BD2"/>
    <w:rsid w:val="00DC540C"/>
    <w:rsid w:val="00DD06FB"/>
    <w:rsid w:val="00DD1F74"/>
    <w:rsid w:val="00DD31C7"/>
    <w:rsid w:val="00DD5211"/>
    <w:rsid w:val="00DD5920"/>
    <w:rsid w:val="00DF3A9A"/>
    <w:rsid w:val="00DF5C8D"/>
    <w:rsid w:val="00E06EA6"/>
    <w:rsid w:val="00E07074"/>
    <w:rsid w:val="00E23442"/>
    <w:rsid w:val="00E24045"/>
    <w:rsid w:val="00E27D67"/>
    <w:rsid w:val="00E3524B"/>
    <w:rsid w:val="00E5071B"/>
    <w:rsid w:val="00E52913"/>
    <w:rsid w:val="00E624F0"/>
    <w:rsid w:val="00E64E7A"/>
    <w:rsid w:val="00E6726D"/>
    <w:rsid w:val="00E71EA7"/>
    <w:rsid w:val="00E86E57"/>
    <w:rsid w:val="00EB07CE"/>
    <w:rsid w:val="00EB2FE3"/>
    <w:rsid w:val="00EB3213"/>
    <w:rsid w:val="00EC32FA"/>
    <w:rsid w:val="00EC619E"/>
    <w:rsid w:val="00ED50FB"/>
    <w:rsid w:val="00ED5CD9"/>
    <w:rsid w:val="00ED63FF"/>
    <w:rsid w:val="00ED744A"/>
    <w:rsid w:val="00EE3A89"/>
    <w:rsid w:val="00EE4EAE"/>
    <w:rsid w:val="00EE5E73"/>
    <w:rsid w:val="00EF08F2"/>
    <w:rsid w:val="00F01DAF"/>
    <w:rsid w:val="00F06C7C"/>
    <w:rsid w:val="00F109DA"/>
    <w:rsid w:val="00F13B38"/>
    <w:rsid w:val="00F14D93"/>
    <w:rsid w:val="00F16A55"/>
    <w:rsid w:val="00F20E41"/>
    <w:rsid w:val="00F2158F"/>
    <w:rsid w:val="00F3125C"/>
    <w:rsid w:val="00F316E9"/>
    <w:rsid w:val="00F40AA0"/>
    <w:rsid w:val="00F43032"/>
    <w:rsid w:val="00F549F5"/>
    <w:rsid w:val="00F75829"/>
    <w:rsid w:val="00F8430F"/>
    <w:rsid w:val="00F90CE6"/>
    <w:rsid w:val="00F94711"/>
    <w:rsid w:val="00F95391"/>
    <w:rsid w:val="00FA0CC8"/>
    <w:rsid w:val="00FA242E"/>
    <w:rsid w:val="00FB0CE8"/>
    <w:rsid w:val="00FB29D8"/>
    <w:rsid w:val="00FB4135"/>
    <w:rsid w:val="00FC3D03"/>
    <w:rsid w:val="00FC6856"/>
    <w:rsid w:val="00FD11C5"/>
    <w:rsid w:val="00FD2405"/>
    <w:rsid w:val="00FE011A"/>
    <w:rsid w:val="00FE579A"/>
    <w:rsid w:val="00FE6500"/>
    <w:rsid w:val="00FE7862"/>
    <w:rsid w:val="00FF10BA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D3163"/>
  <w15:chartTrackingRefBased/>
  <w15:docId w15:val="{7EBA66D9-9450-4FDB-94C2-AC1FE915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D82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A2E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BA2E5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BA2E5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locked/>
    <w:rsid w:val="00BA2E57"/>
    <w:rPr>
      <w:rFonts w:ascii="Times New Roman" w:hAnsi="Times New Roman" w:cs="Times New Roman"/>
      <w:b/>
      <w:bCs/>
      <w:sz w:val="36"/>
      <w:szCs w:val="36"/>
      <w:lang w:val="x-none" w:eastAsia="fr-FR"/>
    </w:rPr>
  </w:style>
  <w:style w:type="paragraph" w:styleId="Paragraphedeliste">
    <w:name w:val="List Paragraph"/>
    <w:basedOn w:val="Normal"/>
    <w:uiPriority w:val="34"/>
    <w:qFormat/>
    <w:rsid w:val="00C745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C745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4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Notedebasdepage">
    <w:name w:val="footnote text"/>
    <w:aliases w:val="Car"/>
    <w:basedOn w:val="Normal"/>
    <w:link w:val="NotedebasdepageCar"/>
    <w:uiPriority w:val="99"/>
    <w:unhideWhenUsed/>
    <w:rsid w:val="001473C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Car Car"/>
    <w:link w:val="Notedebasdepage"/>
    <w:uiPriority w:val="99"/>
    <w:locked/>
    <w:rsid w:val="001473CD"/>
    <w:rPr>
      <w:rFonts w:ascii="Calibri" w:hAnsi="Calibri" w:cs="Times New Roman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73C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1473CD"/>
    <w:rPr>
      <w:rFonts w:ascii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1473CD"/>
    <w:rPr>
      <w:rFonts w:ascii="Times New Roman" w:hAnsi="Times New Roman" w:cs="Times New Roman"/>
      <w:vertAlign w:val="superscript"/>
    </w:rPr>
  </w:style>
  <w:style w:type="character" w:styleId="Marquedecommentaire">
    <w:name w:val="annotation reference"/>
    <w:uiPriority w:val="99"/>
    <w:semiHidden/>
    <w:unhideWhenUsed/>
    <w:rsid w:val="001473CD"/>
    <w:rPr>
      <w:rFonts w:cs="Times New Roman"/>
      <w:sz w:val="16"/>
    </w:rPr>
  </w:style>
  <w:style w:type="character" w:styleId="Lienhypertexte">
    <w:name w:val="Hyperlink"/>
    <w:uiPriority w:val="99"/>
    <w:unhideWhenUsed/>
    <w:rsid w:val="002B017D"/>
    <w:rPr>
      <w:rFonts w:cs="Times New Roman"/>
      <w:color w:val="000000"/>
      <w:u w:val="none"/>
      <w:effect w:val="none"/>
    </w:rPr>
  </w:style>
  <w:style w:type="character" w:styleId="Accentuation">
    <w:name w:val="Emphasis"/>
    <w:uiPriority w:val="20"/>
    <w:qFormat/>
    <w:rsid w:val="002B017D"/>
    <w:rPr>
      <w:rFonts w:cs="Times New Roman"/>
      <w:i/>
      <w:iCs/>
    </w:rPr>
  </w:style>
  <w:style w:type="table" w:styleId="Grilledutableau">
    <w:name w:val="Table Grid"/>
    <w:basedOn w:val="TableauNormal"/>
    <w:uiPriority w:val="59"/>
    <w:rsid w:val="00F9471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A1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DA17EE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A1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DA17EE"/>
    <w:rPr>
      <w:rFonts w:cs="Times New Roman"/>
    </w:rPr>
  </w:style>
  <w:style w:type="paragraph" w:customStyle="1" w:styleId="articleparagraph">
    <w:name w:val="articleparagraph"/>
    <w:basedOn w:val="Normal"/>
    <w:rsid w:val="006F4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891752"/>
    <w:rPr>
      <w:rFonts w:cs="Times New Roman"/>
      <w:b/>
      <w:bCs/>
    </w:rPr>
  </w:style>
  <w:style w:type="character" w:customStyle="1" w:styleId="label">
    <w:name w:val="label"/>
    <w:rsid w:val="00837E44"/>
    <w:rPr>
      <w:rFonts w:cs="Times New Roman"/>
      <w:sz w:val="24"/>
      <w:szCs w:val="24"/>
      <w:bdr w:val="none" w:sz="0" w:space="0" w:color="auto" w:frame="1"/>
      <w:vertAlign w:val="baseline"/>
    </w:rPr>
  </w:style>
  <w:style w:type="paragraph" w:customStyle="1" w:styleId="articledetails">
    <w:name w:val="articledetails"/>
    <w:basedOn w:val="Normal"/>
    <w:rsid w:val="00BA2E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maintitle">
    <w:name w:val="maintitle"/>
    <w:rsid w:val="00BA2E57"/>
    <w:rPr>
      <w:rFonts w:cs="Times New Roman"/>
    </w:rPr>
  </w:style>
  <w:style w:type="character" w:styleId="CitationHTML">
    <w:name w:val="HTML Cite"/>
    <w:uiPriority w:val="99"/>
    <w:semiHidden/>
    <w:unhideWhenUsed/>
    <w:rsid w:val="00BA2E57"/>
    <w:rPr>
      <w:rFonts w:cs="Times New Roman"/>
      <w:i/>
      <w:iCs/>
    </w:rPr>
  </w:style>
  <w:style w:type="character" w:customStyle="1" w:styleId="silvernote1">
    <w:name w:val="silvernote1"/>
    <w:rsid w:val="000110C5"/>
    <w:rPr>
      <w:rFonts w:cs="Times New Roman"/>
      <w:sz w:val="22"/>
      <w:szCs w:val="22"/>
    </w:rPr>
  </w:style>
  <w:style w:type="character" w:customStyle="1" w:styleId="pipe2">
    <w:name w:val="pipe2"/>
    <w:rsid w:val="000110C5"/>
    <w:rPr>
      <w:rFonts w:cs="Times New Roman"/>
    </w:rPr>
  </w:style>
  <w:style w:type="character" w:styleId="Numrodepage">
    <w:name w:val="page number"/>
    <w:uiPriority w:val="99"/>
    <w:rsid w:val="00BA292B"/>
    <w:rPr>
      <w:rFonts w:cs="Times New Roman"/>
    </w:rPr>
  </w:style>
  <w:style w:type="paragraph" w:styleId="Listepuces2">
    <w:name w:val="List Bullet 2"/>
    <w:basedOn w:val="Normal"/>
    <w:autoRedefine/>
    <w:rsid w:val="00126439"/>
    <w:pPr>
      <w:widowControl w:val="0"/>
      <w:adjustRightInd w:val="0"/>
      <w:spacing w:after="0" w:line="240" w:lineRule="auto"/>
      <w:jc w:val="center"/>
      <w:textAlignment w:val="baseline"/>
    </w:pPr>
    <w:rPr>
      <w:rFonts w:ascii="Georgia" w:hAnsi="Georgia"/>
      <w:b/>
      <w:sz w:val="24"/>
      <w:szCs w:val="24"/>
      <w:lang w:eastAsia="fr-FR"/>
    </w:rPr>
  </w:style>
  <w:style w:type="character" w:customStyle="1" w:styleId="skypec2cprintcontainer">
    <w:name w:val="skype_c2c_print_container"/>
    <w:rsid w:val="00D407E0"/>
    <w:rPr>
      <w:rFonts w:cs="Times New Roman"/>
    </w:rPr>
  </w:style>
  <w:style w:type="character" w:customStyle="1" w:styleId="skypec2ctextspan">
    <w:name w:val="skype_c2c_text_span"/>
    <w:rsid w:val="00D407E0"/>
    <w:rPr>
      <w:rFonts w:cs="Times New Roman"/>
    </w:rPr>
  </w:style>
  <w:style w:type="paragraph" w:styleId="Listepuces">
    <w:name w:val="List Bullet"/>
    <w:basedOn w:val="Normal"/>
    <w:uiPriority w:val="99"/>
    <w:semiHidden/>
    <w:unhideWhenUsed/>
    <w:rsid w:val="0040235E"/>
    <w:pPr>
      <w:tabs>
        <w:tab w:val="num" w:pos="360"/>
      </w:tabs>
      <w:ind w:left="360" w:hanging="360"/>
      <w:contextualSpacing/>
    </w:pPr>
  </w:style>
  <w:style w:type="paragraph" w:styleId="Titre">
    <w:name w:val="Title"/>
    <w:basedOn w:val="Normal"/>
    <w:link w:val="TitreCar"/>
    <w:uiPriority w:val="10"/>
    <w:qFormat/>
    <w:rsid w:val="0040235E"/>
    <w:pPr>
      <w:spacing w:after="0" w:line="240" w:lineRule="auto"/>
      <w:jc w:val="center"/>
    </w:pPr>
    <w:rPr>
      <w:rFonts w:ascii="Bookman Old Style" w:hAnsi="Bookman Old Style"/>
      <w:b/>
      <w:i/>
      <w:sz w:val="28"/>
      <w:szCs w:val="20"/>
      <w:lang w:eastAsia="fr-FR"/>
    </w:rPr>
  </w:style>
  <w:style w:type="character" w:customStyle="1" w:styleId="TitreCar">
    <w:name w:val="Titre Car"/>
    <w:link w:val="Titre"/>
    <w:uiPriority w:val="10"/>
    <w:locked/>
    <w:rsid w:val="0040235E"/>
    <w:rPr>
      <w:rFonts w:ascii="Bookman Old Style" w:hAnsi="Bookman Old Style" w:cs="Times New Roman"/>
      <w:b/>
      <w:i/>
      <w:sz w:val="28"/>
    </w:rPr>
  </w:style>
  <w:style w:type="character" w:customStyle="1" w:styleId="st1">
    <w:name w:val="st1"/>
    <w:rsid w:val="00E3524B"/>
    <w:rPr>
      <w:rFonts w:cs="Times New Roman"/>
    </w:rPr>
  </w:style>
  <w:style w:type="character" w:customStyle="1" w:styleId="a-size-large1">
    <w:name w:val="a-size-large1"/>
    <w:rsid w:val="00E3524B"/>
    <w:rPr>
      <w:rFonts w:ascii="Arial" w:hAnsi="Arial" w:cs="Arial"/>
    </w:rPr>
  </w:style>
  <w:style w:type="character" w:customStyle="1" w:styleId="uppercase">
    <w:name w:val="uppercase"/>
    <w:rsid w:val="008E7157"/>
    <w:rPr>
      <w:rFonts w:cs="Times New Roman"/>
    </w:rPr>
  </w:style>
  <w:style w:type="character" w:customStyle="1" w:styleId="authors">
    <w:name w:val="authors"/>
    <w:basedOn w:val="Policepardfaut"/>
    <w:rsid w:val="00765404"/>
  </w:style>
  <w:style w:type="character" w:customStyle="1" w:styleId="Date1">
    <w:name w:val="Date1"/>
    <w:basedOn w:val="Policepardfaut"/>
    <w:rsid w:val="00765404"/>
  </w:style>
  <w:style w:type="character" w:customStyle="1" w:styleId="arttitle">
    <w:name w:val="art_title"/>
    <w:basedOn w:val="Policepardfaut"/>
    <w:rsid w:val="00765404"/>
  </w:style>
  <w:style w:type="character" w:customStyle="1" w:styleId="serialtitle">
    <w:name w:val="serial_title"/>
    <w:basedOn w:val="Policepardfaut"/>
    <w:rsid w:val="00765404"/>
  </w:style>
  <w:style w:type="character" w:customStyle="1" w:styleId="titlepart">
    <w:name w:val="titlepart"/>
    <w:basedOn w:val="Policepardfaut"/>
    <w:rsid w:val="0050366D"/>
  </w:style>
  <w:style w:type="character" w:customStyle="1" w:styleId="availabilityicon">
    <w:name w:val="availabilityicon"/>
    <w:basedOn w:val="Policepardfaut"/>
    <w:rsid w:val="0050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8411"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7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90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764914765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58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3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87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48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7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707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74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79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7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60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578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720">
          <w:marLeft w:val="86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97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787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56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58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3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6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1454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1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7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7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8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7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9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81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764914559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1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1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6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764914717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1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1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91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91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91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91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91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91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91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91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9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7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1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9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7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8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2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77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0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2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69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764914789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1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58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6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9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91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856">
              <w:marLeft w:val="-7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7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ECECEC"/>
                            <w:left w:val="single" w:sz="12" w:space="8" w:color="ECECEC"/>
                            <w:bottom w:val="single" w:sz="12" w:space="8" w:color="ECECEC"/>
                            <w:right w:val="single" w:sz="12" w:space="8" w:color="ECECEC"/>
                          </w:divBdr>
                          <w:divsChild>
                            <w:div w:id="176491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9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1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1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91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5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7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74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7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90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7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9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33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649145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91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1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1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1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7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7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74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0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649148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80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176491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1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1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9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7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72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73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6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56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1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53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57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4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7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7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18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69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8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76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764914788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1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5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84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54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22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7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917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91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764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histoire.fr/le-charbon-de-la-glorification-%C3%A0-la-diabolis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BONIN</vt:lpstr>
    </vt:vector>
  </TitlesOfParts>
  <Company>Université Bordeaux 4</Company>
  <LinksUpToDate>false</LinksUpToDate>
  <CharactersWithSpaces>1636</CharactersWithSpaces>
  <SharedDoc>false</SharedDoc>
  <HLinks>
    <vt:vector size="12" baseType="variant">
      <vt:variant>
        <vt:i4>3801193</vt:i4>
      </vt:variant>
      <vt:variant>
        <vt:i4>3</vt:i4>
      </vt:variant>
      <vt:variant>
        <vt:i4>0</vt:i4>
      </vt:variant>
      <vt:variant>
        <vt:i4>5</vt:i4>
      </vt:variant>
      <vt:variant>
        <vt:lpwstr>https://www.lhistoire.fr/le-charbon-de-la-glorification-%C3%A0-la-diabolisation</vt:lpwstr>
      </vt:variant>
      <vt:variant>
        <vt:lpwstr/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https://www.oxfordhandbooks.com/view/10.1093/oxfordhb/9780190932220.001.0001/oxfordhb-9780190932220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BONIN</dc:title>
  <dc:subject/>
  <dc:creator>bonin</dc:creator>
  <cp:keywords/>
  <cp:lastModifiedBy>hubert Bonin</cp:lastModifiedBy>
  <cp:revision>12</cp:revision>
  <cp:lastPrinted>2020-12-30T11:12:00Z</cp:lastPrinted>
  <dcterms:created xsi:type="dcterms:W3CDTF">2021-10-22T13:51:00Z</dcterms:created>
  <dcterms:modified xsi:type="dcterms:W3CDTF">2022-04-30T09:53:00Z</dcterms:modified>
</cp:coreProperties>
</file>