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7B" w:rsidRDefault="009D68CE" w:rsidP="009D68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D68CE">
        <w:rPr>
          <w:rFonts w:ascii="Georgia" w:hAnsi="Georgia"/>
          <w:b/>
          <w:sz w:val="24"/>
          <w:szCs w:val="24"/>
        </w:rPr>
        <w:t xml:space="preserve">Hubert Bonin a publié chez la maison d’édition Droz </w:t>
      </w:r>
    </w:p>
    <w:p w:rsidR="007B51DD" w:rsidRPr="00853E71" w:rsidRDefault="009D68CE" w:rsidP="009D68CE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  <w:r w:rsidRPr="00853E71">
        <w:rPr>
          <w:rFonts w:ascii="Georgia" w:hAnsi="Georgia"/>
          <w:sz w:val="18"/>
          <w:szCs w:val="18"/>
        </w:rPr>
        <w:t>(</w:t>
      </w:r>
      <w:proofErr w:type="gramStart"/>
      <w:r w:rsidRPr="00853E71">
        <w:rPr>
          <w:rFonts w:ascii="Georgia" w:hAnsi="Georgia"/>
          <w:sz w:val="18"/>
          <w:szCs w:val="18"/>
        </w:rPr>
        <w:t>collection</w:t>
      </w:r>
      <w:proofErr w:type="gramEnd"/>
      <w:r w:rsidRPr="00853E71">
        <w:rPr>
          <w:rFonts w:ascii="Georgia" w:hAnsi="Georgia"/>
          <w:sz w:val="18"/>
          <w:szCs w:val="18"/>
        </w:rPr>
        <w:t xml:space="preserve"> </w:t>
      </w:r>
      <w:r w:rsidR="00792C64" w:rsidRPr="00853E71">
        <w:rPr>
          <w:rFonts w:ascii="Georgia" w:hAnsi="Georgia"/>
          <w:sz w:val="18"/>
          <w:szCs w:val="18"/>
        </w:rPr>
        <w:t>« </w:t>
      </w:r>
      <w:r w:rsidRPr="00853E71">
        <w:rPr>
          <w:rFonts w:ascii="Georgia" w:hAnsi="Georgia"/>
          <w:sz w:val="18"/>
          <w:szCs w:val="18"/>
        </w:rPr>
        <w:t xml:space="preserve">Publications d’histoire économique </w:t>
      </w:r>
      <w:r w:rsidR="008848C5">
        <w:rPr>
          <w:rFonts w:ascii="Georgia" w:hAnsi="Georgia"/>
          <w:sz w:val="18"/>
          <w:szCs w:val="18"/>
        </w:rPr>
        <w:t>&amp;</w:t>
      </w:r>
      <w:r w:rsidRPr="00853E71">
        <w:rPr>
          <w:rFonts w:ascii="Georgia" w:hAnsi="Georgia"/>
          <w:sz w:val="18"/>
          <w:szCs w:val="18"/>
        </w:rPr>
        <w:t xml:space="preserve"> sociale</w:t>
      </w:r>
      <w:r w:rsidR="008848C5">
        <w:rPr>
          <w:rFonts w:ascii="Georgia" w:hAnsi="Georgia"/>
          <w:sz w:val="18"/>
          <w:szCs w:val="18"/>
        </w:rPr>
        <w:t xml:space="preserve"> internationale</w:t>
      </w:r>
      <w:r w:rsidR="00792C64" w:rsidRPr="00853E71">
        <w:rPr>
          <w:rFonts w:ascii="Georgia" w:hAnsi="Georgia"/>
          <w:sz w:val="18"/>
          <w:szCs w:val="18"/>
        </w:rPr>
        <w:t> »</w:t>
      </w:r>
      <w:r w:rsidRPr="00853E71">
        <w:rPr>
          <w:rFonts w:ascii="Georgia" w:hAnsi="Georgia"/>
          <w:sz w:val="18"/>
          <w:szCs w:val="18"/>
        </w:rPr>
        <w:t>)</w:t>
      </w:r>
    </w:p>
    <w:p w:rsidR="009D68CE" w:rsidRPr="009D68CE" w:rsidRDefault="009D68CE" w:rsidP="009D68CE">
      <w:pPr>
        <w:spacing w:after="0" w:line="240" w:lineRule="auto"/>
        <w:rPr>
          <w:rFonts w:ascii="Georgia" w:hAnsi="Georgia"/>
          <w:sz w:val="24"/>
          <w:szCs w:val="24"/>
        </w:rPr>
      </w:pPr>
    </w:p>
    <w:p w:rsidR="00F26335" w:rsidRPr="00F26335" w:rsidRDefault="00F26335" w:rsidP="00F26335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F26335">
        <w:rPr>
          <w:rFonts w:ascii="Georgia" w:hAnsi="Georgia"/>
          <w:i/>
        </w:rPr>
        <w:t>Histoire de la Société générale</w:t>
      </w:r>
      <w:r w:rsidRPr="00F26335">
        <w:rPr>
          <w:rFonts w:ascii="Georgia" w:hAnsi="Georgia"/>
        </w:rPr>
        <w:t xml:space="preserve">. Tome II. </w:t>
      </w:r>
      <w:r w:rsidRPr="00F26335">
        <w:rPr>
          <w:rFonts w:ascii="Georgia" w:hAnsi="Georgia"/>
          <w:i/>
        </w:rPr>
        <w:t>1890-1914. Une grande banque française</w:t>
      </w:r>
      <w:r w:rsidRPr="00F26335">
        <w:rPr>
          <w:rFonts w:ascii="Georgia" w:hAnsi="Georgia"/>
        </w:rPr>
        <w:t>, Genève, Droz, « Publications d’histoire économique &amp; sociale internationale », 2019 (1 126 p.).</w:t>
      </w:r>
    </w:p>
    <w:p w:rsidR="008054D8" w:rsidRPr="008054D8" w:rsidRDefault="008054D8" w:rsidP="008848C5">
      <w:pPr>
        <w:numPr>
          <w:ilvl w:val="0"/>
          <w:numId w:val="8"/>
        </w:numPr>
        <w:spacing w:after="0" w:line="240" w:lineRule="auto"/>
        <w:rPr>
          <w:rFonts w:ascii="Georgia" w:hAnsi="Georgia"/>
          <w:bCs/>
        </w:rPr>
      </w:pPr>
      <w:r>
        <w:rPr>
          <w:rFonts w:ascii="Georgia" w:hAnsi="Georgia"/>
          <w:bCs/>
          <w:i/>
        </w:rPr>
        <w:t>La France dans la guerre économique (1914-1918)</w:t>
      </w:r>
      <w:r w:rsidRPr="008054D8">
        <w:rPr>
          <w:rFonts w:ascii="Georgia" w:hAnsi="Georgia"/>
          <w:bCs/>
        </w:rPr>
        <w:t>, Genève, Droz, 2018.</w:t>
      </w:r>
    </w:p>
    <w:p w:rsidR="008848C5" w:rsidRPr="008848C5" w:rsidRDefault="008848C5" w:rsidP="008848C5">
      <w:pPr>
        <w:numPr>
          <w:ilvl w:val="0"/>
          <w:numId w:val="8"/>
        </w:numPr>
        <w:spacing w:after="0" w:line="240" w:lineRule="auto"/>
        <w:rPr>
          <w:rFonts w:ascii="Georgia" w:hAnsi="Georgia"/>
          <w:bCs/>
        </w:rPr>
      </w:pPr>
      <w:r w:rsidRPr="008848C5">
        <w:rPr>
          <w:rFonts w:ascii="Georgia" w:hAnsi="Georgia"/>
          <w:bCs/>
          <w:i/>
        </w:rPr>
        <w:t xml:space="preserve">Crises et batailles boursières en France aux </w:t>
      </w:r>
      <w:r w:rsidRPr="008848C5">
        <w:rPr>
          <w:rFonts w:ascii="Georgia" w:hAnsi="Georgia"/>
          <w:bCs/>
          <w:i/>
          <w:smallCaps/>
        </w:rPr>
        <w:t>xx</w:t>
      </w:r>
      <w:r w:rsidRPr="008848C5">
        <w:rPr>
          <w:rFonts w:ascii="Georgia" w:hAnsi="Georgia"/>
          <w:bCs/>
          <w:i/>
          <w:vertAlign w:val="superscript"/>
        </w:rPr>
        <w:t>e</w:t>
      </w:r>
      <w:r w:rsidRPr="008848C5">
        <w:rPr>
          <w:rFonts w:ascii="Georgia" w:hAnsi="Georgia"/>
          <w:bCs/>
          <w:i/>
        </w:rPr>
        <w:t xml:space="preserve"> et </w:t>
      </w:r>
      <w:r w:rsidRPr="008848C5">
        <w:rPr>
          <w:rFonts w:ascii="Georgia" w:hAnsi="Georgia"/>
          <w:bCs/>
          <w:i/>
          <w:smallCaps/>
        </w:rPr>
        <w:t>xxi</w:t>
      </w:r>
      <w:r w:rsidRPr="008848C5">
        <w:rPr>
          <w:rFonts w:ascii="Georgia" w:hAnsi="Georgia"/>
          <w:bCs/>
          <w:i/>
          <w:vertAlign w:val="superscript"/>
        </w:rPr>
        <w:t>e</w:t>
      </w:r>
      <w:r w:rsidRPr="008848C5">
        <w:rPr>
          <w:rFonts w:ascii="Georgia" w:hAnsi="Georgia"/>
          <w:bCs/>
          <w:i/>
        </w:rPr>
        <w:t xml:space="preserve"> siècles</w:t>
      </w:r>
      <w:r w:rsidRPr="008848C5">
        <w:rPr>
          <w:rFonts w:ascii="Georgia" w:hAnsi="Georgia"/>
          <w:bCs/>
        </w:rPr>
        <w:t xml:space="preserve"> (avec Bertrand Blancheton), Genève, Droz, 2017 (488 p.).</w:t>
      </w:r>
    </w:p>
    <w:p w:rsidR="00B65EF3" w:rsidRPr="008848C5" w:rsidRDefault="00B65EF3" w:rsidP="00B65EF3">
      <w:pPr>
        <w:numPr>
          <w:ilvl w:val="0"/>
          <w:numId w:val="8"/>
        </w:numPr>
        <w:spacing w:after="0" w:line="240" w:lineRule="auto"/>
        <w:rPr>
          <w:rFonts w:ascii="Georgia" w:hAnsi="Georgia"/>
          <w:bCs/>
          <w:i/>
        </w:rPr>
      </w:pPr>
      <w:r w:rsidRPr="008848C5">
        <w:rPr>
          <w:rFonts w:ascii="Georgia" w:hAnsi="Georgia"/>
          <w:bCs/>
          <w:i/>
        </w:rPr>
        <w:t>50 ans d’affacturage en France. Des pionniers et leaders aux groups bancaires (1964-2016)</w:t>
      </w:r>
      <w:r w:rsidRPr="008848C5">
        <w:rPr>
          <w:rFonts w:ascii="Georgia" w:hAnsi="Georgia"/>
          <w:bCs/>
        </w:rPr>
        <w:t>, Genève, Droz, 2016.</w:t>
      </w:r>
    </w:p>
    <w:p w:rsidR="00792C64" w:rsidRPr="008848C5" w:rsidRDefault="00B65EF3" w:rsidP="00B65EF3">
      <w:pPr>
        <w:pStyle w:val="Paragraphedeliste"/>
        <w:numPr>
          <w:ilvl w:val="0"/>
          <w:numId w:val="6"/>
        </w:numPr>
        <w:spacing w:after="0" w:line="240" w:lineRule="auto"/>
        <w:rPr>
          <w:rFonts w:ascii="Georgia" w:hAnsi="Georgia"/>
          <w:bCs/>
        </w:rPr>
      </w:pPr>
      <w:r w:rsidRPr="008848C5">
        <w:rPr>
          <w:rFonts w:ascii="Georgia" w:hAnsi="Georgia" w:cs="MinionPro-Regular"/>
        </w:rPr>
        <w:t xml:space="preserve"> </w:t>
      </w:r>
      <w:r w:rsidR="00792C64" w:rsidRPr="008848C5">
        <w:rPr>
          <w:rFonts w:ascii="Georgia" w:hAnsi="Georgia" w:cs="MinionPro-Regular"/>
        </w:rPr>
        <w:t xml:space="preserve">(avec Jean-Marc </w:t>
      </w:r>
      <w:proofErr w:type="spellStart"/>
      <w:r w:rsidR="00792C64" w:rsidRPr="008848C5">
        <w:rPr>
          <w:rFonts w:ascii="Georgia" w:hAnsi="Georgia" w:cs="MinionPro-Regular"/>
        </w:rPr>
        <w:t>Figuet</w:t>
      </w:r>
      <w:proofErr w:type="spellEnd"/>
      <w:r w:rsidR="00792C64" w:rsidRPr="008848C5">
        <w:rPr>
          <w:rFonts w:ascii="Georgia" w:hAnsi="Georgia" w:cs="MinionPro-Regular"/>
        </w:rPr>
        <w:t xml:space="preserve">, dir.), </w:t>
      </w:r>
      <w:r w:rsidR="00792C64" w:rsidRPr="008848C5">
        <w:rPr>
          <w:rFonts w:ascii="Georgia" w:hAnsi="Georgia" w:cs="MinionPro-Regular"/>
          <w:i/>
        </w:rPr>
        <w:t>Crises et régulation bancaires</w:t>
      </w:r>
      <w:r w:rsidR="0069197B" w:rsidRPr="008848C5">
        <w:rPr>
          <w:rFonts w:ascii="Georgia" w:hAnsi="Georgia" w:cs="MinionPro-Regular"/>
          <w:i/>
        </w:rPr>
        <w:t xml:space="preserve">. </w:t>
      </w:r>
      <w:r w:rsidR="0069197B" w:rsidRPr="008848C5">
        <w:rPr>
          <w:rFonts w:ascii="Georgia" w:hAnsi="Georgia"/>
          <w:bCs/>
          <w:i/>
        </w:rPr>
        <w:t>Les cheminements de l’instabilité et de la stabilité bancaires</w:t>
      </w:r>
      <w:r w:rsidR="00792C64" w:rsidRPr="008848C5">
        <w:rPr>
          <w:rFonts w:ascii="Georgia" w:hAnsi="Georgia" w:cs="MinionPro-Regular"/>
        </w:rPr>
        <w:t xml:space="preserve">, Genève, Droz, </w:t>
      </w:r>
      <w:r w:rsidR="0069197B" w:rsidRPr="008848C5">
        <w:rPr>
          <w:rFonts w:ascii="Georgia" w:hAnsi="Georgia" w:cs="MinionPro-Regular"/>
        </w:rPr>
        <w:t>2015</w:t>
      </w:r>
      <w:r w:rsidR="00792C64" w:rsidRPr="008848C5">
        <w:rPr>
          <w:rFonts w:ascii="Georgia" w:hAnsi="Georgia" w:cs="MinionPro-Regular"/>
        </w:rPr>
        <w:t>.</w:t>
      </w:r>
    </w:p>
    <w:p w:rsidR="009D68CE" w:rsidRPr="008848C5" w:rsidRDefault="009D68CE" w:rsidP="009D68C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MinionPro-Regular"/>
        </w:rPr>
      </w:pPr>
      <w:r w:rsidRPr="008848C5">
        <w:rPr>
          <w:rFonts w:ascii="Georgia" w:hAnsi="Georgia"/>
        </w:rPr>
        <w:t>« Les banques savoyardes enracinées dans l’économie régionale (des années 1860 aux années 1980) », i</w:t>
      </w:r>
      <w:r w:rsidRPr="008848C5">
        <w:rPr>
          <w:rFonts w:ascii="Georgia" w:hAnsi="Georgia" w:cs="MinionPro-Regular"/>
        </w:rPr>
        <w:t xml:space="preserve">n Denis Varaschin, Hubert Bonin </w:t>
      </w:r>
      <w:r w:rsidR="008848C5" w:rsidRPr="008848C5">
        <w:rPr>
          <w:rFonts w:ascii="Georgia" w:hAnsi="Georgia" w:cs="MinionPro-Regular"/>
        </w:rPr>
        <w:t>&amp;</w:t>
      </w:r>
      <w:r w:rsidRPr="008848C5">
        <w:rPr>
          <w:rFonts w:ascii="Georgia" w:hAnsi="Georgia" w:cs="MinionPro-Regular"/>
        </w:rPr>
        <w:t xml:space="preserve"> Yves Bouvier (dir.), </w:t>
      </w:r>
      <w:r w:rsidRPr="008848C5">
        <w:rPr>
          <w:rFonts w:ascii="Georgia" w:hAnsi="Georgia" w:cs="MinionPro-Regular"/>
          <w:i/>
          <w:iCs/>
        </w:rPr>
        <w:t>Histoire économique et sociale de la Savoie, de 1860 à nos jour</w:t>
      </w:r>
      <w:r w:rsidRPr="008848C5">
        <w:rPr>
          <w:rFonts w:ascii="Georgia" w:hAnsi="Georgia" w:cs="MinionPro-Regular"/>
        </w:rPr>
        <w:t>s, Genève, Droz, 2014, p. 81-192.</w:t>
      </w:r>
    </w:p>
    <w:p w:rsidR="009D68CE" w:rsidRPr="008848C5" w:rsidRDefault="009D68CE" w:rsidP="009D68CE">
      <w:pPr>
        <w:pStyle w:val="Listepuces2"/>
        <w:numPr>
          <w:ilvl w:val="0"/>
          <w:numId w:val="6"/>
        </w:numPr>
        <w:rPr>
          <w:lang w:val="en-GB"/>
        </w:rPr>
      </w:pPr>
      <w:r w:rsidRPr="008848C5">
        <w:rPr>
          <w:i/>
          <w:iCs/>
          <w:lang w:val="en-GB"/>
        </w:rPr>
        <w:t>French Banks and the Greek “Niche Market”, mid-1880s-1950s</w:t>
      </w:r>
      <w:r w:rsidRPr="008848C5">
        <w:rPr>
          <w:lang w:val="en-GB"/>
        </w:rPr>
        <w:t>, Genève, Droz, 2013 (382 p.).</w:t>
      </w:r>
    </w:p>
    <w:p w:rsidR="009D68CE" w:rsidRPr="009D68CE" w:rsidRDefault="009D68CE" w:rsidP="009D68CE">
      <w:pPr>
        <w:pStyle w:val="Listepuces2"/>
        <w:numPr>
          <w:ilvl w:val="0"/>
          <w:numId w:val="6"/>
        </w:numPr>
        <w:rPr>
          <w:lang w:val="en-GB"/>
        </w:rPr>
      </w:pPr>
      <w:r w:rsidRPr="009D68CE">
        <w:rPr>
          <w:i/>
          <w:iCs/>
          <w:lang w:val="en-GB"/>
        </w:rPr>
        <w:t>History of the Suez Canal Company, 1858-1960. Between Controversy and Utility</w:t>
      </w:r>
      <w:r w:rsidRPr="009D68CE">
        <w:rPr>
          <w:lang w:val="en-GB"/>
        </w:rPr>
        <w:t>, Genève, Droz, 2010 (576 p.).</w:t>
      </w:r>
    </w:p>
    <w:p w:rsidR="009D68CE" w:rsidRPr="00A87697" w:rsidRDefault="009D68CE" w:rsidP="009D68CE">
      <w:pPr>
        <w:pStyle w:val="Listepuces2"/>
        <w:numPr>
          <w:ilvl w:val="0"/>
          <w:numId w:val="6"/>
        </w:numPr>
        <w:tabs>
          <w:tab w:val="num" w:pos="720"/>
        </w:tabs>
      </w:pPr>
      <w:r w:rsidRPr="00A87697">
        <w:t xml:space="preserve">« La stratégie de déploiement international de la Société générale (des années 1870 aux années 1970) », in Olivier Feiertag </w:t>
      </w:r>
      <w:r w:rsidR="008848C5">
        <w:t>&amp;</w:t>
      </w:r>
      <w:r w:rsidRPr="00A87697">
        <w:t xml:space="preserve"> Isabelle Lespinet-Moret (dir.), </w:t>
      </w:r>
      <w:r w:rsidRPr="002E3D93">
        <w:rPr>
          <w:i/>
        </w:rPr>
        <w:t>L’économie</w:t>
      </w:r>
      <w:r w:rsidRPr="00A87697">
        <w:t xml:space="preserve"> </w:t>
      </w:r>
      <w:r w:rsidRPr="00A87697">
        <w:rPr>
          <w:i/>
          <w:iCs/>
        </w:rPr>
        <w:t>faite homme. Hommage à Alain Plessis</w:t>
      </w:r>
      <w:r w:rsidRPr="00A87697">
        <w:t>, Genève, Droz, 2010, p. 303-324.</w:t>
      </w:r>
    </w:p>
    <w:p w:rsidR="00853E71" w:rsidRPr="008848C5" w:rsidRDefault="00853E71" w:rsidP="00853E71">
      <w:pPr>
        <w:pStyle w:val="Listepuces2"/>
        <w:numPr>
          <w:ilvl w:val="0"/>
          <w:numId w:val="1"/>
        </w:numPr>
        <w:rPr>
          <w:color w:val="000000"/>
          <w:lang w:val="en-GB"/>
        </w:rPr>
      </w:pPr>
      <w:r>
        <w:rPr>
          <w:lang w:val="en-GB"/>
        </w:rPr>
        <w:t>« </w:t>
      </w:r>
      <w:r w:rsidRPr="001D6D28">
        <w:rPr>
          <w:lang w:val="en-GB"/>
        </w:rPr>
        <w:t xml:space="preserve">First </w:t>
      </w:r>
      <w:r w:rsidRPr="001D6D28">
        <w:rPr>
          <w:color w:val="000000"/>
          <w:lang w:val="en-GB"/>
        </w:rPr>
        <w:t>American firms coming to France (from the 1900s to the 1930s” (</w:t>
      </w:r>
      <w:r w:rsidRPr="001D6D28">
        <w:rPr>
          <w:lang w:val="en-GB"/>
        </w:rPr>
        <w:t>p. 71-102</w:t>
      </w:r>
      <w:proofErr w:type="gramStart"/>
      <w:r w:rsidRPr="001D6D28">
        <w:rPr>
          <w:lang w:val="en-GB"/>
        </w:rPr>
        <w:t>) ;</w:t>
      </w:r>
      <w:proofErr w:type="gramEnd"/>
      <w:r w:rsidRPr="001D6D28">
        <w:rPr>
          <w:lang w:val="en-GB"/>
        </w:rPr>
        <w:t xml:space="preserve"> « Equipment goods and mass brands American business spreading modernity into France? Strategies, identity and perception (from the 1940s to the 1980s) (p. 503-648) », in Hubert Bonin &amp; Ferry de </w:t>
      </w:r>
      <w:proofErr w:type="spellStart"/>
      <w:r w:rsidRPr="001D6D28">
        <w:rPr>
          <w:lang w:val="en-GB"/>
        </w:rPr>
        <w:t>Goey</w:t>
      </w:r>
      <w:proofErr w:type="spellEnd"/>
      <w:r w:rsidRPr="001D6D28">
        <w:rPr>
          <w:lang w:val="en-GB"/>
        </w:rPr>
        <w:t xml:space="preserve"> (dir.), </w:t>
      </w:r>
      <w:r w:rsidRPr="001D6D28">
        <w:rPr>
          <w:i/>
          <w:iCs/>
          <w:lang w:val="en-GB"/>
        </w:rPr>
        <w:t xml:space="preserve">American Companies in Europe (1890-1980). </w:t>
      </w:r>
      <w:r w:rsidRPr="008848C5">
        <w:rPr>
          <w:i/>
          <w:iCs/>
          <w:lang w:val="en-GB"/>
        </w:rPr>
        <w:t>Strategy, Identity, Perception and Performance</w:t>
      </w:r>
      <w:r w:rsidRPr="008848C5">
        <w:rPr>
          <w:lang w:val="en-GB"/>
        </w:rPr>
        <w:t>, Genève, Droz, 2008.</w:t>
      </w:r>
    </w:p>
    <w:p w:rsidR="009D68CE" w:rsidRPr="0085427E" w:rsidRDefault="00853E71" w:rsidP="00853E71">
      <w:pPr>
        <w:pStyle w:val="Listepuces2"/>
        <w:numPr>
          <w:ilvl w:val="0"/>
          <w:numId w:val="1"/>
        </w:numPr>
      </w:pPr>
      <w:r w:rsidRPr="002E3D93">
        <w:t xml:space="preserve"> </w:t>
      </w:r>
      <w:r w:rsidR="009D68CE" w:rsidRPr="0085427E">
        <w:t xml:space="preserve">« Les banques et la fraude : un risque permanent (1850-1950) », in Gérard </w:t>
      </w:r>
      <w:proofErr w:type="spellStart"/>
      <w:r w:rsidR="009D68CE" w:rsidRPr="0085427E">
        <w:t>Béaur</w:t>
      </w:r>
      <w:proofErr w:type="spellEnd"/>
      <w:r w:rsidR="009D68CE" w:rsidRPr="0085427E">
        <w:t xml:space="preserve">, Hubert Bonin &amp; Claire Lemercier (dir.), </w:t>
      </w:r>
      <w:r w:rsidR="009D68CE" w:rsidRPr="0085427E">
        <w:rPr>
          <w:i/>
          <w:iCs/>
        </w:rPr>
        <w:t>Contrebande, fraude et contrefaçon, de l’Antiquité à nos jours</w:t>
      </w:r>
      <w:r w:rsidR="009D68CE" w:rsidRPr="0085427E">
        <w:t xml:space="preserve">, Genève, Droz, </w:t>
      </w:r>
      <w:r w:rsidR="009D68CE" w:rsidRPr="009D68CE">
        <w:rPr>
          <w:bCs/>
        </w:rPr>
        <w:t>2007</w:t>
      </w:r>
      <w:r w:rsidR="009D68CE" w:rsidRPr="0085427E">
        <w:t xml:space="preserve">, </w:t>
      </w:r>
      <w:r w:rsidR="009D68CE">
        <w:t>p</w:t>
      </w:r>
      <w:r w:rsidR="009D68CE" w:rsidRPr="0085427E">
        <w:t>. 345-362.</w:t>
      </w:r>
    </w:p>
    <w:p w:rsidR="009D68CE" w:rsidRPr="0085427E" w:rsidRDefault="009D68CE" w:rsidP="009D68CE">
      <w:pPr>
        <w:pStyle w:val="Listepuces2"/>
        <w:numPr>
          <w:ilvl w:val="0"/>
          <w:numId w:val="1"/>
        </w:numPr>
      </w:pPr>
      <w:r w:rsidRPr="0085427E">
        <w:rPr>
          <w:i/>
          <w:iCs/>
        </w:rPr>
        <w:t>Histoire de la Société générale</w:t>
      </w:r>
      <w:r w:rsidRPr="0085427E">
        <w:t xml:space="preserve">. I. </w:t>
      </w:r>
      <w:r w:rsidRPr="0085427E">
        <w:rPr>
          <w:i/>
          <w:iCs/>
        </w:rPr>
        <w:t>1864-1890. Naissance d’une banque</w:t>
      </w:r>
      <w:r w:rsidRPr="0085427E">
        <w:t>, Genève, Droz, 2006 (730 p</w:t>
      </w:r>
      <w:r w:rsidR="008848C5">
        <w:t>.</w:t>
      </w:r>
      <w:r w:rsidRPr="0085427E">
        <w:t>).</w:t>
      </w:r>
    </w:p>
    <w:p w:rsidR="009D68CE" w:rsidRPr="0085427E" w:rsidRDefault="009D68CE" w:rsidP="009D68CE">
      <w:pPr>
        <w:pStyle w:val="Listepuces2"/>
        <w:numPr>
          <w:ilvl w:val="0"/>
          <w:numId w:val="1"/>
        </w:numPr>
      </w:pPr>
      <w:r w:rsidRPr="0085427E">
        <w:t>« Le Crédit lyonnais, la Société générale et les autres : essai d’appréciation des rapports de force (1864-1966) », in B</w:t>
      </w:r>
      <w:r>
        <w:t>ernard</w:t>
      </w:r>
      <w:r w:rsidRPr="0085427E">
        <w:t xml:space="preserve"> Desjardins (</w:t>
      </w:r>
      <w:r w:rsidRPr="0085427E">
        <w:rPr>
          <w:i/>
          <w:iCs/>
        </w:rPr>
        <w:t>et alii</w:t>
      </w:r>
      <w:r w:rsidRPr="0085427E">
        <w:t xml:space="preserve">, dir.), </w:t>
      </w:r>
      <w:r w:rsidRPr="0085427E">
        <w:rPr>
          <w:i/>
          <w:iCs/>
        </w:rPr>
        <w:t>Le Crédit lyonnais, 1863-1986</w:t>
      </w:r>
      <w:r w:rsidRPr="0085427E">
        <w:t xml:space="preserve">, Genève, Droz, </w:t>
      </w:r>
      <w:r w:rsidRPr="009D68CE">
        <w:rPr>
          <w:bCs/>
        </w:rPr>
        <w:t>2003</w:t>
      </w:r>
      <w:r w:rsidRPr="0085427E">
        <w:t xml:space="preserve">, </w:t>
      </w:r>
      <w:r>
        <w:t>p</w:t>
      </w:r>
      <w:r w:rsidRPr="0085427E">
        <w:t>. 725-749.</w:t>
      </w:r>
    </w:p>
    <w:p w:rsidR="009D68CE" w:rsidRPr="009D68CE" w:rsidRDefault="009D68CE" w:rsidP="009D68CE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9D68CE" w:rsidRPr="009D68CE" w:rsidSect="007B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59E"/>
    <w:multiLevelType w:val="hybridMultilevel"/>
    <w:tmpl w:val="A792223A"/>
    <w:lvl w:ilvl="0" w:tplc="31EC8722">
      <w:start w:val="1"/>
      <w:numFmt w:val="bullet"/>
      <w:pStyle w:val="Listepuces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25250"/>
    <w:multiLevelType w:val="hybridMultilevel"/>
    <w:tmpl w:val="02EC9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A98"/>
    <w:multiLevelType w:val="hybridMultilevel"/>
    <w:tmpl w:val="7184560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96912"/>
    <w:multiLevelType w:val="hybridMultilevel"/>
    <w:tmpl w:val="3F2CFA7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3407F"/>
    <w:multiLevelType w:val="hybridMultilevel"/>
    <w:tmpl w:val="6D2CC794"/>
    <w:lvl w:ilvl="0" w:tplc="9118D0BC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DCF130B"/>
    <w:multiLevelType w:val="hybridMultilevel"/>
    <w:tmpl w:val="652A72CA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029F2"/>
    <w:multiLevelType w:val="hybridMultilevel"/>
    <w:tmpl w:val="E70068E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B1C59"/>
    <w:multiLevelType w:val="singleLevel"/>
    <w:tmpl w:val="A4EA4A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D68CE"/>
    <w:rsid w:val="002E3D93"/>
    <w:rsid w:val="00472E39"/>
    <w:rsid w:val="0049512C"/>
    <w:rsid w:val="0069197B"/>
    <w:rsid w:val="00792C64"/>
    <w:rsid w:val="007B51DD"/>
    <w:rsid w:val="008054D8"/>
    <w:rsid w:val="00853E71"/>
    <w:rsid w:val="008848C5"/>
    <w:rsid w:val="009C28F7"/>
    <w:rsid w:val="009D68CE"/>
    <w:rsid w:val="00AE675A"/>
    <w:rsid w:val="00B65EF3"/>
    <w:rsid w:val="00BD3241"/>
    <w:rsid w:val="00BF39CF"/>
    <w:rsid w:val="00C04885"/>
    <w:rsid w:val="00F2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9D68CE"/>
    <w:pPr>
      <w:numPr>
        <w:numId w:val="2"/>
      </w:numPr>
      <w:spacing w:after="0" w:line="240" w:lineRule="auto"/>
    </w:pPr>
    <w:rPr>
      <w:rFonts w:ascii="Georgia" w:eastAsia="Times New Roman" w:hAnsi="Georgia" w:cs="Times New Roman"/>
      <w:snapToGrid w:val="0"/>
    </w:rPr>
  </w:style>
  <w:style w:type="paragraph" w:styleId="En-tte">
    <w:name w:val="header"/>
    <w:basedOn w:val="Normal"/>
    <w:link w:val="En-tteCar"/>
    <w:rsid w:val="009D68CE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="Garamond" w:eastAsia="Times New Roman" w:hAnsi="Garamond" w:cs="Times New Roman"/>
      <w:smallCaps/>
      <w:kern w:val="18"/>
      <w:szCs w:val="20"/>
    </w:rPr>
  </w:style>
  <w:style w:type="character" w:customStyle="1" w:styleId="En-tteCar">
    <w:name w:val="En-tête Car"/>
    <w:basedOn w:val="Policepardfaut"/>
    <w:link w:val="En-tte"/>
    <w:rsid w:val="009D68CE"/>
    <w:rPr>
      <w:rFonts w:ascii="Garamond" w:eastAsia="Times New Roman" w:hAnsi="Garamond" w:cs="Times New Roman"/>
      <w:smallCaps/>
      <w:kern w:val="18"/>
      <w:szCs w:val="20"/>
    </w:rPr>
  </w:style>
  <w:style w:type="paragraph" w:styleId="Paragraphedeliste">
    <w:name w:val="List Paragraph"/>
    <w:basedOn w:val="Normal"/>
    <w:uiPriority w:val="34"/>
    <w:qFormat/>
    <w:rsid w:val="009D68CE"/>
    <w:pPr>
      <w:ind w:left="720"/>
      <w:contextualSpacing/>
    </w:pPr>
  </w:style>
  <w:style w:type="character" w:styleId="lev">
    <w:name w:val="Strong"/>
    <w:qFormat/>
    <w:rsid w:val="00B65EF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 Bonin</cp:lastModifiedBy>
  <cp:revision>11</cp:revision>
  <cp:lastPrinted>2018-09-24T12:41:00Z</cp:lastPrinted>
  <dcterms:created xsi:type="dcterms:W3CDTF">2014-11-19T14:07:00Z</dcterms:created>
  <dcterms:modified xsi:type="dcterms:W3CDTF">2019-08-16T09:07:00Z</dcterms:modified>
</cp:coreProperties>
</file>